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pPr>
      <w:r>
        <w:rPr/>
        <w:t xml:space="preserve">                  </w:t>
      </w:r>
      <w:r>
        <w:rPr/>
        <w:t>załącznik nr 3  do SIWZ</w:t>
      </w:r>
    </w:p>
    <w:p>
      <w:pPr>
        <w:pStyle w:val="Normal"/>
        <w:spacing w:before="0" w:after="0"/>
        <w:jc w:val="center"/>
        <w:rPr>
          <w:b/>
          <w:b/>
          <w:bCs/>
          <w:sz w:val="28"/>
          <w:szCs w:val="28"/>
        </w:rPr>
      </w:pPr>
      <w:r>
        <w:rPr>
          <w:b/>
          <w:bCs/>
          <w:sz w:val="28"/>
          <w:szCs w:val="28"/>
        </w:rPr>
        <w:t>Minimalne wymagania techniczno-użytkowe dla średniego samochodu ratowniczo-gaśniczego z układem napędowym 4x4</w:t>
      </w:r>
    </w:p>
    <w:p>
      <w:pPr>
        <w:pStyle w:val="Normal"/>
        <w:spacing w:before="0" w:after="0"/>
        <w:jc w:val="center"/>
        <w:rPr>
          <w:b/>
          <w:b/>
          <w:bCs/>
          <w:color w:val="FF0000"/>
          <w:sz w:val="28"/>
          <w:szCs w:val="28"/>
        </w:rPr>
      </w:pPr>
      <w:r>
        <w:rPr>
          <w:b/>
          <w:bCs/>
          <w:sz w:val="28"/>
          <w:szCs w:val="28"/>
        </w:rPr>
        <w:t>(kategoria 2: uterenowiony), dla jednostki OSP</w:t>
      </w:r>
      <w:r>
        <w:rPr>
          <w:bCs/>
          <w:i/>
          <w:color w:val="FF0000"/>
        </w:rPr>
        <w:t xml:space="preserve"> </w:t>
      </w:r>
    </w:p>
    <w:tbl>
      <w:tblPr>
        <w:tblW w:w="15707"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851"/>
        <w:gridCol w:w="10802"/>
        <w:gridCol w:w="4054"/>
      </w:tblGrid>
      <w:tr>
        <w:trPr>
          <w:tblHeader w:val="true"/>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0" w:after="160"/>
              <w:jc w:val="center"/>
              <w:rPr>
                <w:b/>
                <w:b/>
              </w:rPr>
            </w:pPr>
            <w:r>
              <w:rPr>
                <w:b/>
              </w:rPr>
              <w:t>L.P</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0" w:after="160"/>
              <w:jc w:val="center"/>
              <w:rPr>
                <w:b/>
                <w:b/>
              </w:rPr>
            </w:pPr>
            <w:r>
              <w:rPr>
                <w:b/>
              </w:rPr>
              <w:t>WYMAGANIA MINIMALNE ZAMAWIAJĄCEGO</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0" w:after="160"/>
              <w:jc w:val="center"/>
              <w:rPr>
                <w:b/>
                <w:b/>
              </w:rPr>
            </w:pPr>
            <w:r>
              <w:rPr>
                <w:b/>
              </w:rPr>
              <w:t xml:space="preserve"> </w:t>
            </w:r>
            <w:r>
              <w:rPr>
                <w:b/>
              </w:rPr>
              <w:t>PROPOZYCJE WYKONAWCY</w:t>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spacing w:before="0" w:after="160"/>
              <w:jc w:val="center"/>
              <w:rPr>
                <w:b/>
                <w:b/>
                <w:sz w:val="24"/>
                <w:szCs w:val="24"/>
              </w:rPr>
            </w:pPr>
            <w:r>
              <w:rPr>
                <w:b/>
                <w:sz w:val="24"/>
                <w:szCs w:val="24"/>
              </w:rPr>
              <w:t>1</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widowControl/>
              <w:bidi w:val="0"/>
              <w:spacing w:lineRule="auto" w:line="259" w:before="0" w:after="160"/>
              <w:jc w:val="left"/>
              <w:rPr>
                <w:b/>
                <w:b/>
                <w:sz w:val="24"/>
                <w:szCs w:val="24"/>
              </w:rPr>
            </w:pPr>
            <w:r>
              <w:rPr>
                <w:b/>
                <w:sz w:val="24"/>
                <w:szCs w:val="24"/>
              </w:rPr>
              <w:t>Warunki ogólne</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spacing w:before="0" w:after="160"/>
              <w:jc w:val="center"/>
              <w:rPr>
                <w:b/>
                <w:b/>
              </w:rPr>
            </w:pPr>
            <w:r>
              <w:rPr>
                <w:b/>
              </w:rPr>
            </w:r>
          </w:p>
        </w:tc>
      </w:tr>
      <w:tr>
        <w:trPr>
          <w:trHeight w:val="113" w:hRule="atLeast"/>
        </w:trPr>
        <w:tc>
          <w:tcPr>
            <w:tcW w:w="8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1.1</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4929" w:type="dxa"/>
              <w:jc w:val="left"/>
              <w:tblInd w:w="0" w:type="dxa"/>
              <w:tblBorders/>
              <w:tblCellMar>
                <w:top w:w="0" w:type="dxa"/>
                <w:left w:w="108" w:type="dxa"/>
                <w:bottom w:w="0" w:type="dxa"/>
                <w:right w:w="108" w:type="dxa"/>
              </w:tblCellMar>
              <w:tblLook w:firstRow="0" w:noVBand="0" w:lastRow="0" w:firstColumn="0" w:lastColumn="0" w:noHBand="0" w:val="0000"/>
            </w:tblPr>
            <w:tblGrid>
              <w:gridCol w:w="4929"/>
            </w:tblGrid>
            <w:tr>
              <w:trPr>
                <w:trHeight w:val="90" w:hRule="atLeast"/>
              </w:trPr>
              <w:tc>
                <w:tcPr>
                  <w:tcW w:w="492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Pojazd zabudowany i wyposażony musi spełniać    wymagania:</w:t>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10117" w:type="dxa"/>
              <w:jc w:val="left"/>
              <w:tblInd w:w="0" w:type="dxa"/>
              <w:tblBorders/>
              <w:tblCellMar>
                <w:top w:w="0" w:type="dxa"/>
                <w:left w:w="108" w:type="dxa"/>
                <w:bottom w:w="0" w:type="dxa"/>
                <w:right w:w="108" w:type="dxa"/>
              </w:tblCellMar>
              <w:tblLook w:firstRow="0" w:noVBand="0" w:lastRow="0" w:firstColumn="0" w:lastColumn="0" w:noHBand="0" w:val="0000"/>
            </w:tblPr>
            <w:tblGrid>
              <w:gridCol w:w="10117"/>
            </w:tblGrid>
            <w:tr>
              <w:trPr>
                <w:trHeight w:val="204" w:hRule="atLeast"/>
              </w:trPr>
              <w:tc>
                <w:tcPr>
                  <w:tcW w:w="10117"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ustawy z dnia 20 czerwca 1997 r. „Prawo o ruchu drogowym” (Dz. U. z 2020 r., poz. 110, z późn. zm.), wraz z przepisami wykonawczymi do ustawy, </w:t>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10119" w:type="dxa"/>
              <w:jc w:val="left"/>
              <w:tblInd w:w="0" w:type="dxa"/>
              <w:tblBorders/>
              <w:tblCellMar>
                <w:top w:w="0" w:type="dxa"/>
                <w:left w:w="108" w:type="dxa"/>
                <w:bottom w:w="0" w:type="dxa"/>
                <w:right w:w="108" w:type="dxa"/>
              </w:tblCellMar>
              <w:tblLook w:firstRow="0" w:noVBand="0" w:lastRow="0" w:firstColumn="0" w:lastColumn="0" w:noHBand="0" w:val="0000"/>
            </w:tblPr>
            <w:tblGrid>
              <w:gridCol w:w="10119"/>
            </w:tblGrid>
            <w:tr>
              <w:trPr>
                <w:trHeight w:val="319" w:hRule="atLeast"/>
              </w:trPr>
              <w:tc>
                <w:tcPr>
                  <w:tcW w:w="1011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10118" w:type="dxa"/>
              <w:jc w:val="left"/>
              <w:tblInd w:w="0" w:type="dxa"/>
              <w:tblBorders/>
              <w:tblCellMar>
                <w:top w:w="0" w:type="dxa"/>
                <w:left w:w="108" w:type="dxa"/>
                <w:bottom w:w="0" w:type="dxa"/>
                <w:right w:w="108" w:type="dxa"/>
              </w:tblCellMar>
              <w:tblLook w:firstRow="0" w:noVBand="0" w:lastRow="0" w:firstColumn="0" w:lastColumn="0" w:noHBand="0" w:val="0000"/>
            </w:tblPr>
            <w:tblGrid>
              <w:gridCol w:w="10118"/>
            </w:tblGrid>
            <w:tr>
              <w:trPr>
                <w:trHeight w:val="783" w:hRule="atLeast"/>
              </w:trPr>
              <w:tc>
                <w:tcPr>
                  <w:tcW w:w="10118"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9706" w:type="dxa"/>
              <w:jc w:val="left"/>
              <w:tblInd w:w="0" w:type="dxa"/>
              <w:tblBorders/>
              <w:tblCellMar>
                <w:top w:w="0" w:type="dxa"/>
                <w:left w:w="108" w:type="dxa"/>
                <w:bottom w:w="0" w:type="dxa"/>
                <w:right w:w="108" w:type="dxa"/>
              </w:tblCellMar>
              <w:tblLook w:firstRow="0" w:noVBand="0" w:lastRow="0" w:firstColumn="0" w:lastColumn="0" w:noHBand="0" w:val="0000"/>
            </w:tblPr>
            <w:tblGrid>
              <w:gridCol w:w="9706"/>
            </w:tblGrid>
            <w:tr>
              <w:trPr>
                <w:trHeight w:val="90" w:hRule="atLeast"/>
              </w:trPr>
              <w:tc>
                <w:tcPr>
                  <w:tcW w:w="970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norm: PN-EN 1846-1 i PN-EN 1846-2. ( lub równoważnych)</w:t>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1.2</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10118" w:type="dxa"/>
              <w:jc w:val="left"/>
              <w:tblInd w:w="0" w:type="dxa"/>
              <w:tblBorders/>
              <w:tblCellMar>
                <w:top w:w="0" w:type="dxa"/>
                <w:left w:w="108" w:type="dxa"/>
                <w:bottom w:w="0" w:type="dxa"/>
                <w:right w:w="108" w:type="dxa"/>
              </w:tblCellMar>
              <w:tblLook w:firstRow="0" w:noVBand="0" w:lastRow="0" w:firstColumn="0" w:lastColumn="0" w:noHBand="0" w:val="0000"/>
            </w:tblPr>
            <w:tblGrid>
              <w:gridCol w:w="10118"/>
            </w:tblGrid>
            <w:tr>
              <w:trPr>
                <w:trHeight w:val="436" w:hRule="atLeast"/>
              </w:trPr>
              <w:tc>
                <w:tcPr>
                  <w:tcW w:w="10118"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1.3</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10122" w:type="dxa"/>
              <w:jc w:val="left"/>
              <w:tblInd w:w="0" w:type="dxa"/>
              <w:tblBorders/>
              <w:tblCellMar>
                <w:top w:w="0" w:type="dxa"/>
                <w:left w:w="108" w:type="dxa"/>
                <w:bottom w:w="0" w:type="dxa"/>
                <w:right w:w="108" w:type="dxa"/>
              </w:tblCellMar>
              <w:tblLook w:firstRow="0" w:noVBand="0" w:lastRow="0" w:firstColumn="0" w:lastColumn="0" w:noHBand="0" w:val="0000"/>
            </w:tblPr>
            <w:tblGrid>
              <w:gridCol w:w="10122"/>
            </w:tblGrid>
            <w:tr>
              <w:trPr>
                <w:trHeight w:val="319" w:hRule="atLeast"/>
              </w:trPr>
              <w:tc>
                <w:tcPr>
                  <w:tcW w:w="1012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pPr>
                    <w:pStyle w:val="Normal"/>
                    <w:spacing w:lineRule="auto" w:line="240" w:before="0" w:after="0"/>
                    <w:rPr>
                      <w:rFonts w:ascii="Times New Roman" w:hAnsi="Times New Roman" w:cs="Times New Roman"/>
                    </w:rPr>
                  </w:pPr>
                  <w:r>
                    <w:rPr>
                      <w:rFonts w:cs="Times New Roman" w:ascii="Times New Roman" w:hAnsi="Times New Roman"/>
                    </w:rPr>
                    <w:t xml:space="preserve">Dodatkowo wykonawca umieści na drzwiach kabiny kierowcy oraz dowódcy napisy „ OSP GRZYMAŁKÓW” oraz wykona i umieści na pojeździe logo projektu dofinansowującego. </w:t>
                  </w:r>
                </w:p>
                <w:p>
                  <w:pPr>
                    <w:pStyle w:val="Normal"/>
                    <w:spacing w:lineRule="auto" w:line="240" w:before="0" w:after="0"/>
                    <w:rPr>
                      <w:rFonts w:ascii="Times New Roman" w:hAnsi="Times New Roman" w:cs="Times New Roman"/>
                    </w:rPr>
                  </w:pPr>
                  <w:r>
                    <w:rPr>
                      <w:rFonts w:cs="Times New Roman" w:ascii="Times New Roman" w:hAnsi="Times New Roman"/>
                    </w:rPr>
                    <w:t xml:space="preserve">Kabina oklejona białymi pasami a zabudowa czerwonymi oraz jaskrawo zielonymi pasami (wzór zostanie ustalony na etapie realizacji zamówienia). </w:t>
                  </w:r>
                </w:p>
                <w:p>
                  <w:pPr>
                    <w:pStyle w:val="Normal"/>
                    <w:spacing w:lineRule="auto" w:line="240" w:before="0" w:after="0"/>
                    <w:rPr>
                      <w:rFonts w:ascii="Times New Roman" w:hAnsi="Times New Roman" w:cs="Times New Roman"/>
                    </w:rPr>
                  </w:pPr>
                  <w:r>
                    <w:rPr>
                      <w:rFonts w:cs="Times New Roman" w:ascii="Times New Roman" w:hAnsi="Times New Roman"/>
                    </w:rPr>
                    <w:t xml:space="preserve">Na tylnej rolecie umieszczona naklejka „korytarz życia”.  </w:t>
                  </w:r>
                </w:p>
                <w:p>
                  <w:pPr>
                    <w:pStyle w:val="Normal"/>
                    <w:spacing w:lineRule="auto" w:line="240" w:before="0" w:after="0"/>
                    <w:rPr>
                      <w:rFonts w:ascii="Times New Roman" w:hAnsi="Times New Roman" w:cs="Times New Roman"/>
                    </w:rPr>
                  </w:pPr>
                  <w:r>
                    <w:rPr>
                      <w:rFonts w:cs="Times New Roman" w:ascii="Times New Roman" w:hAnsi="Times New Roman"/>
                    </w:rPr>
                    <w:t>Numery operacyjne oraz logo zostanie dostarczone przez zamawiającego po podpisaniu umowy.</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p>
            <w:pPr>
              <w:pStyle w:val="Normal"/>
              <w:rPr>
                <w:b/>
                <w:b/>
              </w:rPr>
            </w:pPr>
            <w:r>
              <w:rPr>
                <w:b/>
              </w:rPr>
            </w:r>
          </w:p>
          <w:p>
            <w:pPr>
              <w:pStyle w:val="Normal"/>
              <w:rPr>
                <w:b/>
                <w:b/>
              </w:rPr>
            </w:pPr>
            <w:r>
              <w:rPr>
                <w:b/>
              </w:rPr>
            </w:r>
          </w:p>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spacing w:before="0" w:after="160"/>
              <w:jc w:val="center"/>
              <w:rPr>
                <w:b/>
                <w:b/>
                <w:sz w:val="24"/>
                <w:szCs w:val="24"/>
              </w:rPr>
            </w:pPr>
            <w:r>
              <w:rPr>
                <w:b/>
                <w:sz w:val="24"/>
                <w:szCs w:val="24"/>
              </w:rPr>
              <w:t>2</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widowControl/>
              <w:bidi w:val="0"/>
              <w:spacing w:lineRule="auto" w:line="259" w:before="0" w:after="160"/>
              <w:jc w:val="left"/>
              <w:rPr>
                <w:b/>
                <w:b/>
                <w:bCs/>
                <w:sz w:val="24"/>
                <w:szCs w:val="24"/>
              </w:rPr>
            </w:pPr>
            <w:r>
              <w:rPr>
                <w:b/>
                <w:bCs/>
                <w:sz w:val="24"/>
                <w:szCs w:val="24"/>
              </w:rPr>
              <w:t>Podwozie z kabiną</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2.1</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10273" w:type="dxa"/>
              <w:jc w:val="left"/>
              <w:tblInd w:w="0" w:type="dxa"/>
              <w:tblBorders/>
              <w:tblCellMar>
                <w:top w:w="0" w:type="dxa"/>
                <w:left w:w="108" w:type="dxa"/>
                <w:bottom w:w="0" w:type="dxa"/>
                <w:right w:w="108" w:type="dxa"/>
              </w:tblCellMar>
              <w:tblLook w:firstRow="0" w:noVBand="0" w:lastRow="0" w:firstColumn="0" w:lastColumn="0" w:noHBand="0" w:val="0000"/>
            </w:tblPr>
            <w:tblGrid>
              <w:gridCol w:w="10273"/>
            </w:tblGrid>
            <w:tr>
              <w:trPr>
                <w:trHeight w:val="90" w:hRule="atLeast"/>
              </w:trPr>
              <w:tc>
                <w:tcPr>
                  <w:tcW w:w="10273"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Pojazd fabrycznie nowy, silnik i podwozie z kabiną pochodzące od tego samego producenta </w:t>
                  </w:r>
                </w:p>
                <w:p>
                  <w:pPr>
                    <w:pStyle w:val="Normal"/>
                    <w:spacing w:lineRule="auto" w:line="240" w:before="0" w:after="0"/>
                    <w:rPr>
                      <w:rFonts w:ascii="Times New Roman" w:hAnsi="Times New Roman" w:cs="Times New Roman"/>
                    </w:rPr>
                  </w:pPr>
                  <w:r>
                    <w:rPr>
                      <w:rFonts w:cs="Times New Roman" w:ascii="Times New Roman" w:hAnsi="Times New Roman"/>
                    </w:rPr>
                    <w:t xml:space="preserve">Podwozie z roku produkcji min. 2020 oraz z silnikiem o mocy nie mniejszej niż 210 kW </w:t>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4449" w:type="dxa"/>
              <w:jc w:val="left"/>
              <w:tblInd w:w="0" w:type="dxa"/>
              <w:tblBorders/>
              <w:tblCellMar>
                <w:top w:w="0" w:type="dxa"/>
                <w:left w:w="108" w:type="dxa"/>
                <w:bottom w:w="0" w:type="dxa"/>
                <w:right w:w="108" w:type="dxa"/>
              </w:tblCellMar>
              <w:tblLook w:firstRow="0" w:noVBand="0" w:lastRow="0" w:firstColumn="0" w:lastColumn="0" w:noHBand="0" w:val="0000"/>
            </w:tblPr>
            <w:tblGrid>
              <w:gridCol w:w="4449"/>
            </w:tblGrid>
            <w:tr>
              <w:trPr>
                <w:trHeight w:val="205" w:hRule="atLeast"/>
              </w:trPr>
              <w:tc>
                <w:tcPr>
                  <w:tcW w:w="4449"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rPr>
                    <w:t xml:space="preserve">Podać producenta, typ i model podwozia </w:t>
                  </w:r>
                </w:p>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oraz rok produkcji i  moc silnika .</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2.2</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10415" w:type="dxa"/>
              <w:jc w:val="left"/>
              <w:tblInd w:w="0" w:type="dxa"/>
              <w:tblBorders/>
              <w:tblCellMar>
                <w:top w:w="0" w:type="dxa"/>
                <w:left w:w="108" w:type="dxa"/>
                <w:bottom w:w="0" w:type="dxa"/>
                <w:right w:w="108" w:type="dxa"/>
              </w:tblCellMar>
              <w:tblLook w:firstRow="0" w:noVBand="0" w:lastRow="0" w:firstColumn="0" w:lastColumn="0" w:noHBand="0" w:val="0000"/>
            </w:tblPr>
            <w:tblGrid>
              <w:gridCol w:w="10415"/>
            </w:tblGrid>
            <w:tr>
              <w:trPr>
                <w:trHeight w:val="90" w:hRule="atLeast"/>
              </w:trPr>
              <w:tc>
                <w:tcPr>
                  <w:tcW w:w="10415" w:type="dxa"/>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Pojazd musi spełniać wymagania dla klasy średniej M (wg PN-EN 1846-1). ( lub równoważnej).</w:t>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2.3</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10273" w:type="dxa"/>
              <w:jc w:val="left"/>
              <w:tblInd w:w="0" w:type="dxa"/>
              <w:tblBorders/>
              <w:tblCellMar>
                <w:top w:w="0" w:type="dxa"/>
                <w:left w:w="108" w:type="dxa"/>
                <w:bottom w:w="0" w:type="dxa"/>
                <w:right w:w="108" w:type="dxa"/>
              </w:tblCellMar>
              <w:tblLook w:firstRow="0" w:noVBand="0" w:lastRow="0" w:firstColumn="0" w:lastColumn="0" w:noHBand="0" w:val="0000"/>
            </w:tblPr>
            <w:tblGrid>
              <w:gridCol w:w="10273"/>
            </w:tblGrid>
            <w:tr>
              <w:trPr>
                <w:trHeight w:val="90" w:hRule="atLeast"/>
              </w:trPr>
              <w:tc>
                <w:tcPr>
                  <w:tcW w:w="10273" w:type="dxa"/>
                  <w:tcBorders/>
                  <w:shd w:fill="auto" w:val="clear"/>
                </w:tcPr>
                <w:p>
                  <w:pPr>
                    <w:pStyle w:val="Normal"/>
                    <w:spacing w:lineRule="auto" w:line="240" w:before="0" w:after="0"/>
                    <w:ind w:right="-7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Pojazd musi spełniać wymagania dla kategorii 2 - uterenowionej (wg PN-EN 1846-1). ( lub równoważnej).</w:t>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2.4</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10201" w:type="dxa"/>
              <w:jc w:val="left"/>
              <w:tblInd w:w="0" w:type="dxa"/>
              <w:tblBorders/>
              <w:tblCellMar>
                <w:top w:w="0" w:type="dxa"/>
                <w:left w:w="108" w:type="dxa"/>
                <w:bottom w:w="0" w:type="dxa"/>
                <w:right w:w="108" w:type="dxa"/>
              </w:tblCellMar>
              <w:tblLook w:firstRow="0" w:noVBand="0" w:lastRow="0" w:firstColumn="0" w:lastColumn="0" w:noHBand="0" w:val="0000"/>
            </w:tblPr>
            <w:tblGrid>
              <w:gridCol w:w="10201"/>
            </w:tblGrid>
            <w:tr>
              <w:trPr>
                <w:trHeight w:val="335" w:hRule="atLeast"/>
              </w:trPr>
              <w:tc>
                <w:tcPr>
                  <w:tcW w:w="10201"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pPr>
              <w:pStyle w:val="Normal"/>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2.5</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Urządzenia sygnalizacyjno-ostrzegawcze świetlne i dźwiękowe pojazdu uprzywilejowanego: </w:t>
            </w:r>
          </w:p>
          <w:p>
            <w:pPr>
              <w:pStyle w:val="Default"/>
              <w:rPr>
                <w:color w:val="auto"/>
                <w:sz w:val="22"/>
                <w:szCs w:val="22"/>
              </w:rPr>
            </w:pPr>
            <w:r>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pPr>
              <w:pStyle w:val="Default"/>
              <w:rPr>
                <w:color w:val="auto"/>
                <w:sz w:val="22"/>
                <w:szCs w:val="22"/>
              </w:rPr>
            </w:pPr>
            <w:r>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pPr>
              <w:pStyle w:val="Default"/>
              <w:rPr>
                <w:color w:val="auto"/>
                <w:sz w:val="22"/>
                <w:szCs w:val="22"/>
              </w:rPr>
            </w:pPr>
            <w:r>
              <w:rPr>
                <w:color w:val="auto"/>
                <w:sz w:val="22"/>
                <w:szCs w:val="22"/>
              </w:rPr>
              <w:t xml:space="preserve">3) dodatkowe cztery lampy sygnalizacyjne niebieskie, wykonane w technologii LED, zamontowane z przodu pojazdu na wysokości lusterka wstecznego samochodu osobowego, </w:t>
            </w:r>
          </w:p>
          <w:p>
            <w:pPr>
              <w:pStyle w:val="Default"/>
              <w:rPr>
                <w:color w:val="auto"/>
                <w:sz w:val="22"/>
                <w:szCs w:val="22"/>
              </w:rPr>
            </w:pPr>
            <w:r>
              <w:rPr>
                <w:color w:val="auto"/>
                <w:sz w:val="22"/>
                <w:szCs w:val="22"/>
              </w:rPr>
              <w:t>4) dodatkowe dwie lampy sygnalizacyjne niebieskie, wykonane w technologii LED, zamontowane na owiewkach kabiny (po jednej sztuce na owiewkę),</w:t>
            </w:r>
          </w:p>
          <w:p>
            <w:pPr>
              <w:pStyle w:val="Default"/>
              <w:rPr>
                <w:color w:val="auto"/>
                <w:sz w:val="22"/>
                <w:szCs w:val="22"/>
              </w:rPr>
            </w:pPr>
            <w:r>
              <w:rPr>
                <w:color w:val="auto"/>
                <w:sz w:val="22"/>
                <w:szCs w:val="22"/>
              </w:rPr>
              <w:t>5)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pPr>
              <w:pStyle w:val="Tretekstu"/>
              <w:jc w:val="left"/>
              <w:rPr>
                <w:sz w:val="22"/>
                <w:szCs w:val="22"/>
              </w:rPr>
            </w:pPr>
            <w:r>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pPr>
              <w:pStyle w:val="Tretekstu"/>
              <w:jc w:val="left"/>
              <w:rPr>
                <w:sz w:val="22"/>
                <w:szCs w:val="22"/>
              </w:rPr>
            </w:pPr>
            <w:r>
              <w:rPr>
                <w:sz w:val="22"/>
                <w:szCs w:val="22"/>
              </w:rPr>
              <w:t>6) Na tylnej ścianie zabudowy umieszczona „fala świetlna” typu LED.</w:t>
            </w:r>
          </w:p>
          <w:p>
            <w:pPr>
              <w:pStyle w:val="Tretekstu"/>
              <w:jc w:val="left"/>
              <w:rPr>
                <w:sz w:val="22"/>
                <w:szCs w:val="22"/>
              </w:rPr>
            </w:pPr>
            <w:r>
              <w:rPr>
                <w:sz w:val="22"/>
                <w:szCs w:val="22"/>
              </w:rPr>
              <w:t>7) Sygnał pneumatyczny, włączany dodatkowym włącznikiem z miejsca  dowódcy i kierowcy.</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83" w:hRule="atLeast"/>
        </w:trPr>
        <w:tc>
          <w:tcPr>
            <w:tcW w:w="8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2.6</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Podwozie pojazdu musi spełniać min następujące warunki:</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267" w:hRule="atLeast"/>
        </w:trPr>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zypiskocowy"/>
              <w:tabs>
                <w:tab w:val="clear" w:pos="708"/>
                <w:tab w:val="left" w:pos="175" w:leader="none"/>
              </w:tabs>
              <w:rPr>
                <w:spacing w:val="-3"/>
                <w:sz w:val="22"/>
                <w:szCs w:val="22"/>
              </w:rPr>
            </w:pPr>
            <w:r>
              <w:rPr>
                <w:sz w:val="22"/>
                <w:szCs w:val="22"/>
              </w:rPr>
              <w:t xml:space="preserve">- układ jezdny- stały napęd 4x4, z blokadami mechanizmów różnicowych mostów napędowych oraz międzyosiowego. Pojazd wyposażony w manualną skrzynię biegów </w:t>
            </w:r>
            <w:r>
              <w:rPr/>
              <w:t xml:space="preserve"> </w:t>
            </w:r>
            <w:r>
              <w:rPr>
                <w:spacing w:val="-3"/>
                <w:sz w:val="22"/>
                <w:szCs w:val="22"/>
              </w:rPr>
              <w:t xml:space="preserve">o maksymalnym przełożeniu 6 biegów do przodu plus wsteczny. </w:t>
            </w:r>
            <w:r>
              <w:rPr>
                <w:sz w:val="22"/>
                <w:szCs w:val="22"/>
              </w:rPr>
              <w:t>Koła wyposażone w ogumienie uniwersalne wielosezonowe</w:t>
            </w:r>
            <w:r>
              <w:rPr>
                <w:spacing w:val="-3"/>
                <w:sz w:val="22"/>
                <w:szCs w:val="22"/>
              </w:rPr>
              <w:t xml:space="preserve"> z kołami podwójnymi na osi tylnej, obręcze kół min 22,5”</w:t>
            </w:r>
            <w:r>
              <w:rPr>
                <w:sz w:val="22"/>
                <w:szCs w:val="22"/>
              </w:rPr>
              <w:t xml:space="preserve"> </w:t>
            </w:r>
          </w:p>
          <w:p>
            <w:pPr>
              <w:pStyle w:val="Default"/>
              <w:tabs>
                <w:tab w:val="clear" w:pos="708"/>
                <w:tab w:val="left" w:pos="496" w:leader="none"/>
              </w:tabs>
              <w:ind w:left="70" w:hanging="70"/>
              <w:rPr>
                <w:color w:val="auto"/>
                <w:sz w:val="22"/>
                <w:szCs w:val="22"/>
              </w:rPr>
            </w:pPr>
            <w:r>
              <w:rPr>
                <w:bCs/>
                <w:color w:val="auto"/>
                <w:sz w:val="22"/>
                <w:szCs w:val="22"/>
              </w:rPr>
              <w:t>- z</w:t>
            </w:r>
            <w:r>
              <w:rPr>
                <w:color w:val="auto"/>
                <w:sz w:val="22"/>
                <w:szCs w:val="22"/>
              </w:rPr>
              <w:t>awieszenie osi przedniej i tylnej mechaniczne: resory paraboliczne, amortyzatory teleskopowe, stabilizatory przechyłów</w:t>
            </w:r>
          </w:p>
          <w:p>
            <w:pPr>
              <w:pStyle w:val="Przypiskocowy"/>
              <w:tabs>
                <w:tab w:val="clear" w:pos="708"/>
                <w:tab w:val="left" w:pos="175" w:leader="none"/>
              </w:tabs>
              <w:rPr>
                <w:sz w:val="22"/>
                <w:szCs w:val="22"/>
              </w:rPr>
            </w:pPr>
            <w:r>
              <w:rPr>
                <w:sz w:val="22"/>
                <w:szCs w:val="22"/>
              </w:rPr>
              <w:t>Samochód wyposażony w silnik o zapłonie samoczynnym , posiadający aktualne normy ochrony środowiska (czystości spalin)  spełniający  normę emisji spalin- min. Euro 6  Zbiornik paliwa min.150 l</w:t>
            </w:r>
            <w:r>
              <w:rPr>
                <w:b/>
              </w:rPr>
              <w:t xml:space="preserve"> .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83" w:hRule="atLeast"/>
        </w:trPr>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tabs>
                <w:tab w:val="clear" w:pos="708"/>
                <w:tab w:val="left" w:pos="496" w:leader="none"/>
              </w:tabs>
              <w:ind w:left="70" w:hanging="70"/>
              <w:rPr>
                <w:bCs/>
                <w:color w:val="auto"/>
                <w:sz w:val="22"/>
                <w:szCs w:val="22"/>
              </w:rPr>
            </w:pPr>
            <w:r>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Pr>
                <w:bCs/>
                <w:color w:val="auto"/>
                <w:sz w:val="22"/>
                <w:szCs w:val="22"/>
              </w:rPr>
              <w:t xml:space="preserve">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83" w:hRule="atLeast"/>
        </w:trPr>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 xml:space="preserve">- układ hamulcowy wyposażony w system zapobiegania poślizgowi kół podczas hamowania ABS lub równoważny.  </w:t>
            </w:r>
            <w:r>
              <w:rPr>
                <w:bCs/>
                <w:color w:val="auto"/>
                <w:sz w:val="22"/>
                <w:szCs w:val="22"/>
              </w:rPr>
              <w:t xml:space="preserve">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2.7</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2.8</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Kabina czterodrzwiowa, jednomodułowa, 6-osobowa z układem siedzeń 1+1+4, usytuowanych przodem do kierunku jazdy. Wszystkie miejsca wyposażone w  trzypunktowe bezwładnościowe pasy bezpieczeństwa.</w:t>
            </w:r>
          </w:p>
          <w:p>
            <w:pPr>
              <w:pStyle w:val="Default"/>
              <w:rPr>
                <w:color w:val="auto"/>
                <w:sz w:val="22"/>
                <w:szCs w:val="22"/>
              </w:rPr>
            </w:pPr>
            <w:r>
              <w:rPr>
                <w:color w:val="auto"/>
                <w:sz w:val="22"/>
                <w:szCs w:val="22"/>
              </w:rPr>
              <w:t>Dopuszcza się przyjęcie innych rozwiązań, związanych z bezpiecznym przewożeniem członków załogi ,na tylnym siedzeniu, spełniające wymagania obowiązujących przepisów.m.in. dwupunktowe bezwładnościowe pasy bezpieczeństwa</w:t>
            </w:r>
          </w:p>
          <w:p>
            <w:pPr>
              <w:pStyle w:val="Normal"/>
              <w:spacing w:lineRule="auto" w:line="240" w:before="0" w:after="0"/>
              <w:rPr>
                <w:rFonts w:ascii="Times New Roman" w:hAnsi="Times New Roman" w:cs="Times New Roman"/>
              </w:rPr>
            </w:pPr>
            <w:r>
              <w:rPr>
                <w:rFonts w:cs="Times New Roman" w:ascii="Times New Roman" w:hAnsi="Times New Roman"/>
              </w:rPr>
              <w:t>Siedzenia pokryte materiałem  łatwozmywalnym , o zwiększonej odporności na  ścieranie</w:t>
            </w:r>
          </w:p>
          <w:p>
            <w:pPr>
              <w:pStyle w:val="Tretekstu"/>
              <w:jc w:val="left"/>
              <w:rPr>
                <w:sz w:val="22"/>
                <w:szCs w:val="22"/>
              </w:rPr>
            </w:pPr>
            <w:r>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t>
            </w:r>
          </w:p>
          <w:p>
            <w:pPr>
              <w:pStyle w:val="Tretekstu"/>
              <w:ind w:left="357" w:hanging="357"/>
              <w:jc w:val="left"/>
              <w:rPr>
                <w:sz w:val="22"/>
                <w:szCs w:val="22"/>
              </w:rPr>
            </w:pPr>
            <w:r>
              <w:rPr>
                <w:sz w:val="22"/>
                <w:szCs w:val="22"/>
              </w:rPr>
              <w:t>Kabina wyposażona w centralny zamek, klimatyzację i niezależne ogrzewanie kabiny przy wyłączonym silniku.</w:t>
            </w:r>
          </w:p>
          <w:p>
            <w:pPr>
              <w:pStyle w:val="Tretekstu"/>
              <w:jc w:val="left"/>
              <w:rPr>
                <w:sz w:val="22"/>
                <w:szCs w:val="22"/>
              </w:rPr>
            </w:pPr>
            <w:r>
              <w:rPr>
                <w:sz w:val="22"/>
                <w:szCs w:val="22"/>
              </w:rPr>
              <w:t>Dodatkowo wymaga się</w:t>
            </w:r>
          </w:p>
          <w:p>
            <w:pPr>
              <w:pStyle w:val="Tretekstu"/>
              <w:jc w:val="left"/>
              <w:rPr>
                <w:sz w:val="22"/>
                <w:szCs w:val="22"/>
              </w:rPr>
            </w:pPr>
            <w:r>
              <w:rPr>
                <w:sz w:val="22"/>
                <w:szCs w:val="22"/>
              </w:rPr>
              <w:t>- elektrycznie sterowane szyby po stronie kierowcy i dowódcy oraz w części załogowej</w:t>
            </w:r>
          </w:p>
          <w:p>
            <w:pPr>
              <w:pStyle w:val="Tretekstu"/>
              <w:jc w:val="left"/>
              <w:rPr>
                <w:sz w:val="22"/>
                <w:szCs w:val="22"/>
              </w:rPr>
            </w:pPr>
            <w:r>
              <w:rPr>
                <w:sz w:val="22"/>
                <w:szCs w:val="22"/>
              </w:rPr>
              <w:t>- elektrycznie sterowane lusterka główne  po stronie kierowcy i dowódcy</w:t>
            </w:r>
          </w:p>
          <w:p>
            <w:pPr>
              <w:pStyle w:val="Tretekstu"/>
              <w:jc w:val="left"/>
              <w:rPr>
                <w:sz w:val="22"/>
                <w:szCs w:val="22"/>
              </w:rPr>
            </w:pPr>
            <w:r>
              <w:rPr>
                <w:sz w:val="22"/>
                <w:szCs w:val="22"/>
              </w:rPr>
              <w:t>- listwy z oświetleniem typu LED umieszczone obustronnie, nad drzwiami wyjściowymi do kabiny załogi</w:t>
            </w:r>
          </w:p>
          <w:p>
            <w:pPr>
              <w:pStyle w:val="Tretekstu"/>
              <w:jc w:val="left"/>
              <w:rPr>
                <w:spacing w:val="-1"/>
                <w:sz w:val="22"/>
                <w:szCs w:val="22"/>
              </w:rPr>
            </w:pPr>
            <w:r>
              <w:rPr>
                <w:sz w:val="22"/>
                <w:szCs w:val="22"/>
              </w:rPr>
              <w:t xml:space="preserve">- schowek pod siedzeniami w tylnej części kabiny, siedzisko z </w:t>
            </w:r>
            <w:r>
              <w:rPr>
                <w:spacing w:val="-1"/>
                <w:sz w:val="22"/>
                <w:szCs w:val="22"/>
              </w:rPr>
              <w:t>siłownikiem podtrzymującym je w pozycji otwartej</w:t>
            </w:r>
          </w:p>
          <w:p>
            <w:pPr>
              <w:pStyle w:val="Tretekstu"/>
              <w:jc w:val="left"/>
              <w:rPr>
                <w:sz w:val="22"/>
                <w:szCs w:val="22"/>
              </w:rPr>
            </w:pPr>
            <w:r>
              <w:rPr>
                <w:spacing w:val="-1"/>
                <w:sz w:val="22"/>
                <w:szCs w:val="22"/>
              </w:rPr>
              <w:t>- wywietrznik dachowy</w:t>
            </w:r>
          </w:p>
          <w:p>
            <w:pPr>
              <w:pStyle w:val="Tretekstu"/>
              <w:jc w:val="left"/>
              <w:rPr>
                <w:sz w:val="22"/>
                <w:szCs w:val="22"/>
              </w:rPr>
            </w:pPr>
            <w:r>
              <w:rPr>
                <w:spacing w:val="-1"/>
                <w:sz w:val="22"/>
                <w:szCs w:val="22"/>
              </w:rPr>
              <w:t>- p</w:t>
            </w:r>
            <w:r>
              <w:rPr>
                <w:sz w:val="22"/>
                <w:szCs w:val="22"/>
              </w:rPr>
              <w:t xml:space="preserve">rzestrzeń pomiędzy maksymalnie odsuniętym do tyłu fotelem kierowcy lub dowódcy a tylną ścianą  kabiny   </w:t>
            </w:r>
          </w:p>
          <w:p>
            <w:pPr>
              <w:pStyle w:val="Tretekstu"/>
              <w:jc w:val="left"/>
              <w:rPr>
                <w:sz w:val="22"/>
                <w:szCs w:val="22"/>
              </w:rPr>
            </w:pPr>
            <w:r>
              <w:rPr>
                <w:sz w:val="22"/>
                <w:szCs w:val="22"/>
              </w:rPr>
              <w:t xml:space="preserve">  </w:t>
            </w:r>
            <w:r>
              <w:rPr>
                <w:sz w:val="22"/>
                <w:szCs w:val="22"/>
              </w:rPr>
              <w:t>zespolonej minimum 1500mm</w:t>
            </w:r>
          </w:p>
          <w:p>
            <w:pPr>
              <w:pStyle w:val="Normal"/>
              <w:spacing w:before="0" w:after="0"/>
              <w:rPr>
                <w:rFonts w:ascii="Times New Roman" w:hAnsi="Times New Roman" w:cs="Times New Roman"/>
              </w:rPr>
            </w:pPr>
            <w:r>
              <w:rPr>
                <w:rFonts w:cs="Times New Roman" w:ascii="Times New Roman" w:hAnsi="Times New Roman"/>
              </w:rPr>
              <w:t xml:space="preserve">- fotel dla kierowcy z pneumatyczną regulacją wysokości, oraz ciężaru ciała </w:t>
            </w:r>
          </w:p>
          <w:p>
            <w:pPr>
              <w:pStyle w:val="Normal"/>
              <w:spacing w:before="0" w:after="0"/>
              <w:rPr>
                <w:rFonts w:ascii="Times New Roman" w:hAnsi="Times New Roman" w:cs="Times New Roman"/>
              </w:rPr>
            </w:pPr>
            <w:r>
              <w:rPr>
                <w:rFonts w:cs="Times New Roman" w:ascii="Times New Roman" w:hAnsi="Times New Roman"/>
              </w:rPr>
              <w:t>- fotel dla dowódcy z mechaniczną regulacją wysokości oraz z regulacją odległości całego fotela</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2.9</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W kabinie kierowcy zamontowane </w:t>
            </w:r>
            <w:r>
              <w:rPr>
                <w:color w:val="auto"/>
              </w:rPr>
              <w:t xml:space="preserve">radio samochodowe z odtwarzaczem oraz </w:t>
            </w:r>
            <w:r>
              <w:rPr>
                <w:color w:val="auto"/>
                <w:sz w:val="22"/>
                <w:szCs w:val="22"/>
              </w:rPr>
              <w:t xml:space="preserve">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pPr>
              <w:pStyle w:val="Normal"/>
              <w:spacing w:before="0" w:after="0"/>
              <w:rPr>
                <w:rFonts w:ascii="Times New Roman" w:hAnsi="Times New Roman" w:cs="Times New Roman"/>
              </w:rPr>
            </w:pPr>
            <w:r>
              <w:rPr>
                <w:rFonts w:cs="Times New Roman" w:ascii="Times New Roman" w:hAnsi="Times New Roman"/>
              </w:rPr>
              <w:t>Dodatkowe urządzenia  zamontowane w kabinie:</w:t>
            </w:r>
          </w:p>
          <w:p>
            <w:pPr>
              <w:pStyle w:val="Normal"/>
              <w:numPr>
                <w:ilvl w:val="0"/>
                <w:numId w:val="1"/>
              </w:numPr>
              <w:spacing w:lineRule="auto" w:line="240" w:before="0" w:after="0"/>
              <w:rPr>
                <w:rFonts w:ascii="Times New Roman" w:hAnsi="Times New Roman" w:cs="Times New Roman"/>
              </w:rPr>
            </w:pPr>
            <w:r>
              <w:rPr>
                <w:rFonts w:cs="Times New Roman" w:ascii="Times New Roman" w:hAnsi="Times New Roman"/>
              </w:rPr>
              <w:t>sygnalizacja otwarcia żaluzji skrytek i podestów, z alarmem świetlnym, słownym</w:t>
            </w:r>
          </w:p>
          <w:p>
            <w:pPr>
              <w:pStyle w:val="Standard"/>
              <w:numPr>
                <w:ilvl w:val="0"/>
                <w:numId w:val="1"/>
              </w:numPr>
              <w:rPr>
                <w:bCs/>
                <w:sz w:val="22"/>
                <w:szCs w:val="22"/>
              </w:rPr>
            </w:pPr>
            <w:r>
              <w:rPr>
                <w:bCs/>
                <w:sz w:val="22"/>
                <w:szCs w:val="22"/>
              </w:rPr>
              <w:t>sygnalizacja informująca o wysunięciu masztu,</w:t>
            </w:r>
            <w:r>
              <w:rPr>
                <w:sz w:val="22"/>
                <w:szCs w:val="22"/>
              </w:rPr>
              <w:t xml:space="preserve"> z alarmem świetlnym, słownym</w:t>
            </w:r>
            <w:r>
              <w:rPr>
                <w:bCs/>
                <w:sz w:val="22"/>
                <w:szCs w:val="22"/>
              </w:rPr>
              <w:t xml:space="preserve"> </w:t>
            </w:r>
          </w:p>
          <w:p>
            <w:pPr>
              <w:pStyle w:val="Standard"/>
              <w:numPr>
                <w:ilvl w:val="0"/>
                <w:numId w:val="1"/>
              </w:numPr>
              <w:rPr>
                <w:sz w:val="22"/>
                <w:szCs w:val="22"/>
              </w:rPr>
            </w:pPr>
            <w:r>
              <w:rPr>
                <w:sz w:val="22"/>
                <w:szCs w:val="22"/>
              </w:rPr>
              <w:t xml:space="preserve">zamawiający wymaga alarmu słownego o treści: „otwarte żaluzje”, „otwarte podesty”,  </w:t>
            </w:r>
            <w:r>
              <w:rPr/>
              <w:t>„</w:t>
            </w:r>
            <w:r>
              <w:rPr>
                <w:sz w:val="22"/>
                <w:szCs w:val="22"/>
              </w:rPr>
              <w:t>wysunięty maszt”</w:t>
            </w:r>
          </w:p>
          <w:p>
            <w:pPr>
              <w:pStyle w:val="Standard"/>
              <w:numPr>
                <w:ilvl w:val="0"/>
                <w:numId w:val="1"/>
              </w:numPr>
              <w:rPr>
                <w:sz w:val="22"/>
                <w:szCs w:val="22"/>
              </w:rPr>
            </w:pPr>
            <w:r>
              <w:rPr>
                <w:bCs/>
                <w:sz w:val="22"/>
                <w:szCs w:val="22"/>
              </w:rPr>
              <w:t>sygnalizacja załączonego gniazda ładowania</w:t>
            </w:r>
            <w:r>
              <w:rPr>
                <w:sz w:val="22"/>
                <w:szCs w:val="22"/>
              </w:rPr>
              <w:t xml:space="preserve"> i stan naładowania akumulatorów główny wyłącznik oświetlenia skrytek</w:t>
            </w:r>
          </w:p>
          <w:p>
            <w:pPr>
              <w:pStyle w:val="Normal"/>
              <w:numPr>
                <w:ilvl w:val="0"/>
                <w:numId w:val="1"/>
              </w:numPr>
              <w:spacing w:lineRule="auto" w:line="240" w:before="0" w:after="0"/>
              <w:rPr>
                <w:rFonts w:ascii="Times New Roman" w:hAnsi="Times New Roman" w:cs="Times New Roman"/>
                <w:bCs/>
              </w:rPr>
            </w:pPr>
            <w:r>
              <w:rPr>
                <w:rFonts w:cs="Times New Roman" w:ascii="Times New Roman" w:hAnsi="Times New Roman"/>
              </w:rPr>
              <w:t xml:space="preserve">sterowanie zraszaczami  </w:t>
            </w:r>
          </w:p>
          <w:p>
            <w:pPr>
              <w:pStyle w:val="Normal"/>
              <w:numPr>
                <w:ilvl w:val="0"/>
                <w:numId w:val="1"/>
              </w:numPr>
              <w:spacing w:lineRule="auto" w:line="240" w:before="0" w:after="0"/>
              <w:rPr>
                <w:rFonts w:ascii="Times New Roman" w:hAnsi="Times New Roman" w:cs="Times New Roman"/>
                <w:bCs/>
              </w:rPr>
            </w:pPr>
            <w:r>
              <w:rPr>
                <w:rFonts w:cs="Times New Roman" w:ascii="Times New Roman" w:hAnsi="Times New Roman"/>
                <w:bCs/>
              </w:rPr>
              <w:t>sterowanie niezależnym ogrzewaniem kabiny i przedziału  pracy autopompy</w:t>
            </w:r>
          </w:p>
          <w:p>
            <w:pPr>
              <w:pStyle w:val="Normal"/>
              <w:numPr>
                <w:ilvl w:val="0"/>
                <w:numId w:val="1"/>
              </w:numPr>
              <w:spacing w:lineRule="atLeast" w:line="240" w:before="0" w:after="0"/>
              <w:rPr>
                <w:rFonts w:ascii="Times New Roman" w:hAnsi="Times New Roman" w:cs="Times New Roman"/>
              </w:rPr>
            </w:pPr>
            <w:r>
              <w:rPr>
                <w:rFonts w:cs="Times New Roman" w:ascii="Times New Roman" w:hAnsi="Times New Roman"/>
              </w:rPr>
              <w:t>kontrolka włączenia autopompy</w:t>
            </w:r>
          </w:p>
          <w:p>
            <w:pPr>
              <w:pStyle w:val="Normal"/>
              <w:numPr>
                <w:ilvl w:val="0"/>
                <w:numId w:val="1"/>
              </w:numPr>
              <w:spacing w:lineRule="atLeast" w:line="240" w:before="0" w:after="0"/>
              <w:rPr>
                <w:rFonts w:ascii="Times New Roman" w:hAnsi="Times New Roman" w:cs="Times New Roman"/>
              </w:rPr>
            </w:pPr>
            <w:r>
              <w:rPr>
                <w:rFonts w:cs="Times New Roman" w:ascii="Times New Roman" w:hAnsi="Times New Roman"/>
              </w:rPr>
              <w:t>wskaźnik poziomu wody w zbiorniku</w:t>
            </w:r>
          </w:p>
          <w:p>
            <w:pPr>
              <w:pStyle w:val="Normal"/>
              <w:numPr>
                <w:ilvl w:val="0"/>
                <w:numId w:val="1"/>
              </w:numPr>
              <w:spacing w:lineRule="atLeast" w:line="240" w:before="0" w:after="0"/>
              <w:rPr>
                <w:rFonts w:ascii="Times New Roman" w:hAnsi="Times New Roman" w:cs="Times New Roman"/>
              </w:rPr>
            </w:pPr>
            <w:r>
              <w:rPr>
                <w:rFonts w:cs="Times New Roman" w:ascii="Times New Roman" w:hAnsi="Times New Roman"/>
              </w:rPr>
              <w:t>wskaźnik poziomu środka pianotwórczego w zbiorniku</w:t>
            </w:r>
          </w:p>
          <w:p>
            <w:pPr>
              <w:pStyle w:val="Normal"/>
              <w:numPr>
                <w:ilvl w:val="0"/>
                <w:numId w:val="1"/>
              </w:numPr>
              <w:spacing w:lineRule="atLeast" w:line="240" w:before="0" w:after="0"/>
              <w:rPr>
                <w:rFonts w:ascii="Times New Roman" w:hAnsi="Times New Roman" w:cs="Times New Roman"/>
              </w:rPr>
            </w:pPr>
            <w:r>
              <w:rPr>
                <w:rFonts w:cs="Times New Roman" w:ascii="Times New Roman" w:hAnsi="Times New Roman"/>
              </w:rPr>
              <w:t>wskaźnik  niskiego  ciśnienia</w:t>
            </w:r>
          </w:p>
          <w:p>
            <w:pPr>
              <w:pStyle w:val="Normal"/>
              <w:numPr>
                <w:ilvl w:val="0"/>
                <w:numId w:val="1"/>
              </w:numPr>
              <w:spacing w:lineRule="atLeast" w:line="240" w:before="0" w:after="0"/>
              <w:rPr>
                <w:rFonts w:ascii="Times New Roman" w:hAnsi="Times New Roman" w:cs="Times New Roman"/>
              </w:rPr>
            </w:pPr>
            <w:r>
              <w:rPr>
                <w:rFonts w:cs="Times New Roman" w:ascii="Times New Roman" w:hAnsi="Times New Roman"/>
              </w:rPr>
              <w:t>wskaźnik  wysokiego  ciśnienia</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2.10</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Maksymalna wysokość całkowita pojazdu nie może przekroczyć 3350 mm</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2.11</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2.12</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 xml:space="preserve">Wylot spalin nie może być skierowany na stanowiska obsługi poszczególnych urządzeń pojazdu.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2.13</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Pr>
                <w:color w:val="auto"/>
                <w:spacing w:val="-3"/>
                <w:sz w:val="22"/>
                <w:szCs w:val="22"/>
              </w:rPr>
              <w:t>o masie min. 9 ton</w:t>
            </w:r>
            <w:r>
              <w:rPr>
                <w:color w:val="auto"/>
                <w:sz w:val="22"/>
                <w:szCs w:val="22"/>
              </w:rPr>
              <w:t>. Dodatkowo hak holowniczy typu kula wraz z instalacją do ciągnięcia przyczep lekkich.</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2.14</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rPr>
                <w:color w:val="auto"/>
                <w:sz w:val="22"/>
                <w:szCs w:val="22"/>
              </w:rPr>
            </w:pPr>
            <w:r>
              <w:rPr>
                <w:color w:val="auto"/>
                <w:sz w:val="22"/>
                <w:szCs w:val="22"/>
              </w:rPr>
              <w:t xml:space="preserve">Kolor pojazdu: </w:t>
            </w:r>
          </w:p>
          <w:p>
            <w:pPr>
              <w:pStyle w:val="Normal"/>
              <w:spacing w:lineRule="auto" w:line="240" w:before="0" w:after="0"/>
              <w:rPr>
                <w:rFonts w:ascii="Times New Roman" w:hAnsi="Times New Roman" w:cs="Times New Roman"/>
              </w:rPr>
            </w:pPr>
            <w:r>
              <w:rPr>
                <w:rFonts w:cs="Times New Roman" w:ascii="Times New Roman" w:hAnsi="Times New Roman"/>
              </w:rPr>
              <w:t xml:space="preserve">- nadwozie samochodu – RAL 3000,  </w:t>
            </w:r>
          </w:p>
          <w:p>
            <w:pPr>
              <w:pStyle w:val="Normal"/>
              <w:spacing w:lineRule="auto" w:line="240" w:before="0" w:after="0"/>
              <w:rPr>
                <w:rFonts w:ascii="Times New Roman" w:hAnsi="Times New Roman" w:cs="Times New Roman"/>
              </w:rPr>
            </w:pPr>
            <w:r>
              <w:rPr>
                <w:rFonts w:cs="Times New Roman" w:ascii="Times New Roman" w:hAnsi="Times New Roman"/>
              </w:rPr>
              <w:t xml:space="preserve">- żaluzje skrytek w kolorze naturalnego aluminium, </w:t>
            </w:r>
          </w:p>
          <w:p>
            <w:pPr>
              <w:pStyle w:val="Normal"/>
              <w:spacing w:lineRule="auto" w:line="240" w:before="0" w:after="0"/>
              <w:rPr>
                <w:rFonts w:ascii="Times New Roman" w:hAnsi="Times New Roman" w:cs="Times New Roman"/>
              </w:rPr>
            </w:pPr>
            <w:r>
              <w:rPr>
                <w:rFonts w:cs="Times New Roman" w:ascii="Times New Roman" w:hAnsi="Times New Roman"/>
              </w:rPr>
              <w:t>- błotniki i zderzaki – białe</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2.15</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Instalacja elektryczna w kabinie kierowcy wyposażona w indywidualne oświetlenie  do czytania mapy dla pozycji dowódcy , dodatkowy podest z gniazdem umożliwiającym podłączenie ładowarek do radiotelefonów przenośnych i latarek , oraz w </w:t>
            </w:r>
            <w:r>
              <w:rPr>
                <w:sz w:val="22"/>
                <w:szCs w:val="22"/>
              </w:rPr>
              <w:t>reflektor ręczny do oświetlenia numerów budynków</w:t>
            </w:r>
          </w:p>
          <w:p>
            <w:pPr>
              <w:pStyle w:val="Default"/>
              <w:rPr>
                <w:color w:val="auto"/>
                <w:sz w:val="22"/>
                <w:szCs w:val="22"/>
              </w:rPr>
            </w:pPr>
            <w:r>
              <w:rPr>
                <w:color w:val="auto"/>
                <w:sz w:val="22"/>
                <w:szCs w:val="22"/>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spacing w:before="0" w:after="160"/>
              <w:jc w:val="center"/>
              <w:rPr>
                <w:b/>
                <w:b/>
              </w:rPr>
            </w:pPr>
            <w:r>
              <w:rPr>
                <w:b/>
              </w:rPr>
              <w:t>3</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widowControl/>
              <w:bidi w:val="0"/>
              <w:spacing w:lineRule="auto" w:line="259" w:before="0" w:after="160"/>
              <w:jc w:val="left"/>
              <w:rPr>
                <w:b/>
                <w:b/>
                <w:bCs/>
                <w:sz w:val="24"/>
                <w:szCs w:val="24"/>
              </w:rPr>
            </w:pPr>
            <w:r>
              <w:rPr>
                <w:b/>
                <w:bCs/>
                <w:sz w:val="24"/>
                <w:szCs w:val="24"/>
              </w:rPr>
              <w:t>Zabudowa pożarnicza</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widowControl/>
              <w:bidi w:val="0"/>
              <w:spacing w:lineRule="auto" w:line="259" w:before="0" w:after="160"/>
              <w:jc w:val="left"/>
              <w:rPr>
                <w:b/>
                <w:b/>
                <w:sz w:val="24"/>
                <w:szCs w:val="24"/>
              </w:rPr>
            </w:pPr>
            <w:r>
              <w:rPr>
                <w:b/>
                <w:sz w:val="24"/>
                <w:szCs w:val="24"/>
              </w:rPr>
              <w:t>Propozycje Wykonawcy</w:t>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cs="Times New Roman"/>
              </w:rPr>
            </w:pPr>
            <w:r>
              <w:rPr>
                <w:rFonts w:cs="Times New Roman" w:ascii="Times New Roman" w:hAnsi="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3.2</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3.3</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Dopuszcza się umiejscowienie ściągaczy żaluzji, po lewej lub prawej stronie skrytki w zależności od rozwiązań technicznych zastosowanych w skrytkach, m.in.: półek ,regałów obrotowych , palet pionowych obrotowych, palet poziomych. itp .</w:t>
            </w:r>
          </w:p>
          <w:p>
            <w:pPr>
              <w:pStyle w:val="Default"/>
              <w:rPr>
                <w:bCs/>
                <w:color w:val="auto"/>
              </w:rPr>
            </w:pPr>
            <w:r>
              <w:rPr>
                <w:color w:val="auto"/>
                <w:sz w:val="22"/>
                <w:szCs w:val="22"/>
              </w:rPr>
              <w:t xml:space="preserve"> </w:t>
            </w:r>
            <w:r>
              <w:rPr>
                <w:color w:val="auto"/>
                <w:sz w:val="22"/>
                <w:szCs w:val="22"/>
              </w:rPr>
              <w:t>W kabinie sygnalizacja otwarcia żaluzji skrytek i podestów, z alarmem świetlnym oraz słownym „otwarte żaluzje” „otwarte podesty”</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3.4</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3.5</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color w:val="auto"/>
                <w:sz w:val="22"/>
                <w:szCs w:val="22"/>
              </w:rPr>
            </w:pPr>
            <w:r>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pPr>
              <w:pStyle w:val="Tretekstu"/>
              <w:rPr>
                <w:sz w:val="22"/>
                <w:szCs w:val="22"/>
              </w:rPr>
            </w:pPr>
            <w:r>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pPr>
              <w:pStyle w:val="Tretekstu"/>
              <w:ind w:right="-57" w:hanging="0"/>
              <w:rPr>
                <w:bCs/>
                <w:sz w:val="22"/>
                <w:szCs w:val="22"/>
              </w:rPr>
            </w:pPr>
            <w:r>
              <w:rPr>
                <w:sz w:val="22"/>
                <w:szCs w:val="22"/>
              </w:rPr>
              <w:t>Z tyłu pojazdu w dolnej części po obu stronach pojazdu zamontowane obrysówki LED widoczne w lusterkach wstecznych kierowcy.</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3.6</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ind w:right="-57" w:hanging="0"/>
              <w:rPr>
                <w:sz w:val="22"/>
                <w:szCs w:val="22"/>
              </w:rPr>
            </w:pPr>
            <w:r>
              <w:rPr>
                <w:sz w:val="22"/>
                <w:szCs w:val="22"/>
              </w:rPr>
              <w:t xml:space="preserve">Główny wyłącznik oświetlenia skrytek zlokalizowany w kabinie kierowcy. </w:t>
            </w:r>
          </w:p>
          <w:p>
            <w:pPr>
              <w:pStyle w:val="Tretekstu"/>
              <w:ind w:right="-57" w:hanging="0"/>
              <w:rPr>
                <w:bCs/>
                <w:sz w:val="22"/>
                <w:szCs w:val="22"/>
              </w:rPr>
            </w:pPr>
            <w:r>
              <w:rPr>
                <w:sz w:val="22"/>
                <w:szCs w:val="22"/>
              </w:rPr>
              <w:t>W kabinie zainstalowany włącznik do  załączenia oświetlenia zewnętrznego, z możliwością sterowania  oświetleniem z tablicy autopompy.</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3.7</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color w:val="auto"/>
              </w:rPr>
              <w:t xml:space="preserve"> </w:t>
            </w:r>
            <w:r>
              <w:rPr>
                <w:color w:val="auto"/>
                <w:sz w:val="22"/>
                <w:szCs w:val="22"/>
              </w:rPr>
              <w:t xml:space="preserve">alarmem świetlnym oraz słownym „otwarte podesty”.  </w:t>
            </w:r>
          </w:p>
          <w:p>
            <w:pPr>
              <w:pStyle w:val="Normal"/>
              <w:tabs>
                <w:tab w:val="clear" w:pos="708"/>
                <w:tab w:val="left" w:pos="312" w:leader="none"/>
                <w:tab w:val="left" w:pos="921" w:leader="none"/>
                <w:tab w:val="left" w:pos="6513" w:leader="none"/>
                <w:tab w:val="left" w:pos="8543" w:leader="none"/>
                <w:tab w:val="left" w:pos="14730" w:leader="none"/>
              </w:tabs>
              <w:spacing w:lineRule="atLeast" w:line="240" w:before="0" w:after="0"/>
              <w:rPr>
                <w:rFonts w:ascii="Times New Roman" w:hAnsi="Times New Roman" w:cs="Times New Roman"/>
              </w:rPr>
            </w:pPr>
            <w:r>
              <w:rPr>
                <w:rFonts w:cs="Times New Roman" w:ascii="Times New Roman" w:hAnsi="Times New Roman"/>
              </w:rPr>
              <w:t>Dodatkowo wymagane podesty ze wspomaganym systemem teleskopowym na całej długości zabudowy pod wszystkimi schowkami bocznymi zabudowy, w tym nad kołami tylnymi.</w:t>
            </w:r>
          </w:p>
          <w:p>
            <w:pPr>
              <w:pStyle w:val="Normal"/>
              <w:tabs>
                <w:tab w:val="clear" w:pos="708"/>
                <w:tab w:val="left" w:pos="312" w:leader="none"/>
                <w:tab w:val="left" w:pos="921" w:leader="none"/>
                <w:tab w:val="left" w:pos="6513" w:leader="none"/>
                <w:tab w:val="left" w:pos="8543" w:leader="none"/>
                <w:tab w:val="left" w:pos="14730" w:leader="none"/>
              </w:tabs>
              <w:spacing w:lineRule="atLeast" w:line="240"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Przedziały sprzętowe za kabiną pojazdu, wykonane w formie przelotowej, dostępne tak z jednej jak i z drugiej strony nadwozia. Środkowa część o szerokości przelotu min.800 mm,  wyposażona w półki z regulacją wysokości.</w:t>
            </w:r>
          </w:p>
          <w:p>
            <w:pPr>
              <w:pStyle w:val="Normal"/>
              <w:spacing w:before="0" w:after="0"/>
              <w:rPr>
                <w:rFonts w:ascii="Times New Roman" w:hAnsi="Times New Roman" w:cs="Times New Roman"/>
              </w:rPr>
            </w:pPr>
            <w:r>
              <w:rPr>
                <w:rFonts w:cs="Times New Roman" w:ascii="Times New Roman" w:hAnsi="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 z regulacją wysokości</w:t>
            </w:r>
          </w:p>
          <w:p>
            <w:pPr>
              <w:pStyle w:val="Default"/>
              <w:rPr>
                <w:color w:val="auto"/>
                <w:sz w:val="22"/>
                <w:szCs w:val="22"/>
              </w:rPr>
            </w:pPr>
            <w:r>
              <w:rPr>
                <w:color w:val="auto"/>
                <w:sz w:val="22"/>
                <w:szCs w:val="22"/>
              </w:rPr>
              <w:t>Wszystkie półki w zabudowie wykonane  w systemie z możliwością regulacji położenia wysokości półek.</w:t>
            </w:r>
          </w:p>
          <w:p>
            <w:pPr>
              <w:pStyle w:val="Default"/>
              <w:rPr>
                <w:bCs/>
                <w:color w:val="auto"/>
                <w:sz w:val="22"/>
                <w:szCs w:val="22"/>
              </w:rPr>
            </w:pPr>
            <w:r>
              <w:rPr>
                <w:bCs/>
                <w:color w:val="auto"/>
                <w:sz w:val="22"/>
                <w:szCs w:val="22"/>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3.8</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Powierzchnie platform, podestu roboczego i podłogi kabiny w wykonaniu antypoślizgowym.  </w:t>
            </w:r>
          </w:p>
          <w:p>
            <w:pPr>
              <w:pStyle w:val="Default"/>
              <w:rPr>
                <w:color w:val="auto"/>
                <w:sz w:val="22"/>
                <w:szCs w:val="22"/>
              </w:rPr>
            </w:pPr>
            <w:r>
              <w:rPr>
                <w:bCs/>
                <w:color w:val="auto"/>
                <w:sz w:val="22"/>
                <w:szCs w:val="22"/>
              </w:rPr>
              <w:t xml:space="preserve">Balustrady boczne </w:t>
            </w:r>
            <w:r>
              <w:rPr>
                <w:color w:val="auto"/>
                <w:sz w:val="22"/>
                <w:szCs w:val="22"/>
              </w:rPr>
              <w:t>dachu wykonane z materiałów kompozytowych jako nierozłączna część z nadbudową pożarniczą z elementami  barierki rurowej, o wysokości min 180 mm. Na dachu pojazdu zamontowana zamykana skrzynia aluminiowa na drobny sprzęt o wymiarach w przybliżeniu 2600x550x350 mm, posiadająca oświetlenie wewnętrzne typu LED , uchwyty  na drabinę, uchwyty na węże ssawne, bosak, mostki przejazdowe, tłumice itp</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3.9</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trike/>
                <w:color w:val="auto"/>
                <w:sz w:val="22"/>
                <w:szCs w:val="22"/>
              </w:rPr>
            </w:pPr>
            <w:r>
              <w:rPr>
                <w:color w:val="auto"/>
                <w:sz w:val="22"/>
                <w:szCs w:val="22"/>
              </w:rPr>
              <w:t>Autopompa dwuzakresowa o wydajności min. 2400 dm3 przy ciśnieniu 8 bar i min 300 dm3 przy  ciśnieniu 40 bar.</w:t>
            </w:r>
          </w:p>
          <w:p>
            <w:pPr>
              <w:pStyle w:val="Default"/>
              <w:rPr>
                <w:color w:val="auto"/>
                <w:sz w:val="22"/>
                <w:szCs w:val="22"/>
              </w:rPr>
            </w:pPr>
            <w:r>
              <w:rPr>
                <w:color w:val="auto"/>
                <w:sz w:val="22"/>
                <w:szCs w:val="22"/>
              </w:rPr>
              <w:t>Autopompa zlokalizowana z tyłu pojazdu.</w:t>
            </w:r>
          </w:p>
          <w:p>
            <w:pPr>
              <w:pStyle w:val="Default"/>
              <w:rPr>
                <w:color w:val="auto"/>
                <w:sz w:val="22"/>
                <w:szCs w:val="22"/>
              </w:rPr>
            </w:pPr>
            <w:r>
              <w:rPr>
                <w:color w:val="auto"/>
                <w:sz w:val="22"/>
                <w:szCs w:val="22"/>
              </w:rPr>
              <w:t>Układ posiada możliwość jednoczesnego podania wody lub piany do:</w:t>
            </w:r>
          </w:p>
          <w:p>
            <w:pPr>
              <w:pStyle w:val="Default"/>
              <w:rPr>
                <w:color w:val="auto"/>
                <w:sz w:val="22"/>
                <w:szCs w:val="22"/>
              </w:rPr>
            </w:pPr>
            <w:r>
              <w:rPr>
                <w:color w:val="auto"/>
                <w:sz w:val="22"/>
                <w:szCs w:val="22"/>
              </w:rPr>
              <w:t>- dwóch nasad tłocznych 75 zlokalizowanych z tyłu pojazdu, po bokach, umieszczonych w zamykanych klapami lub żaluzjami schowkach bocznych.</w:t>
            </w:r>
          </w:p>
          <w:p>
            <w:pPr>
              <w:pStyle w:val="Normal"/>
              <w:tabs>
                <w:tab w:val="clear" w:pos="708"/>
                <w:tab w:val="left" w:pos="161"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 wysokociśnieniowej linii szybkiego natarcia</w:t>
            </w:r>
          </w:p>
          <w:p>
            <w:pPr>
              <w:pStyle w:val="Normal"/>
              <w:tabs>
                <w:tab w:val="clear" w:pos="708"/>
                <w:tab w:val="left" w:pos="161"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 działka wodno – pianowego sterowanego z panelu działka</w:t>
            </w:r>
          </w:p>
          <w:p>
            <w:pPr>
              <w:pStyle w:val="Normal"/>
              <w:tabs>
                <w:tab w:val="clear" w:pos="708"/>
                <w:tab w:val="left" w:pos="161"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 zraszaczy sterowanych z kabiny kierowcy</w:t>
            </w:r>
          </w:p>
          <w:p>
            <w:pPr>
              <w:pStyle w:val="Tretekstu"/>
              <w:jc w:val="left"/>
              <w:rPr>
                <w:iCs/>
                <w:sz w:val="22"/>
                <w:szCs w:val="22"/>
              </w:rPr>
            </w:pPr>
            <w:r>
              <w:rPr>
                <w:iCs/>
                <w:sz w:val="22"/>
                <w:szCs w:val="22"/>
              </w:rPr>
              <w:t>- podanie wody do zbiornika samochodu z funkcją obiegu zamkniętego.</w:t>
            </w:r>
          </w:p>
          <w:p>
            <w:pPr>
              <w:pStyle w:val="Normal"/>
              <w:tabs>
                <w:tab w:val="clear" w:pos="708"/>
                <w:tab w:val="decimal" w:pos="657" w:leader="none"/>
                <w:tab w:val="left" w:pos="902" w:leader="none"/>
                <w:tab w:val="left" w:pos="6542" w:leader="none"/>
                <w:tab w:val="left" w:pos="8548" w:leader="none"/>
                <w:tab w:val="left" w:pos="14720" w:leader="none"/>
              </w:tabs>
              <w:spacing w:lineRule="atLeast" w:line="240" w:before="0" w:after="0"/>
              <w:rPr>
                <w:rFonts w:ascii="Times New Roman" w:hAnsi="Times New Roman" w:cs="Times New Roman"/>
              </w:rPr>
            </w:pPr>
            <w:r>
              <w:rPr>
                <w:rFonts w:cs="Times New Roman" w:ascii="Times New Roman" w:hAnsi="Times New Roman"/>
              </w:rPr>
              <w:t>W przedziale autopompy  znajdują się co najmniej następujące urządzenia kontrolno - sterownicze pracy pompy:</w:t>
            </w:r>
          </w:p>
          <w:p>
            <w:pPr>
              <w:pStyle w:val="Normal"/>
              <w:tabs>
                <w:tab w:val="clear" w:pos="708"/>
                <w:tab w:val="left" w:pos="48" w:leader="none"/>
                <w:tab w:val="left" w:pos="175" w:leader="none"/>
                <w:tab w:val="left" w:pos="6542" w:leader="none"/>
                <w:tab w:val="left" w:pos="8548" w:leader="none"/>
                <w:tab w:val="left" w:pos="14720" w:leader="none"/>
              </w:tabs>
              <w:spacing w:lineRule="atLeast" w:line="240" w:before="0" w:after="0"/>
              <w:rPr>
                <w:rFonts w:ascii="Times New Roman" w:hAnsi="Times New Roman" w:cs="Times New Roman"/>
              </w:rPr>
            </w:pPr>
            <w:r>
              <w:rPr>
                <w:rFonts w:cs="Times New Roman" w:ascii="Times New Roman" w:hAnsi="Times New Roman"/>
              </w:rPr>
              <w:t>-manowakuometr</w:t>
            </w:r>
          </w:p>
          <w:p>
            <w:pPr>
              <w:pStyle w:val="Normal"/>
              <w:tabs>
                <w:tab w:val="clear" w:pos="708"/>
                <w:tab w:val="left" w:pos="48" w:leader="none"/>
                <w:tab w:val="left" w:pos="175" w:leader="none"/>
                <w:tab w:val="left" w:pos="6542" w:leader="none"/>
                <w:tab w:val="left" w:pos="8548" w:leader="none"/>
                <w:tab w:val="left" w:pos="14720" w:leader="none"/>
              </w:tabs>
              <w:spacing w:lineRule="atLeast" w:line="240" w:before="0" w:after="0"/>
              <w:rPr>
                <w:rFonts w:ascii="Times New Roman" w:hAnsi="Times New Roman" w:cs="Times New Roman"/>
              </w:rPr>
            </w:pPr>
            <w:r>
              <w:rPr>
                <w:rFonts w:cs="Times New Roman" w:ascii="Times New Roman" w:hAnsi="Times New Roman"/>
              </w:rPr>
              <w:t>-manometr niskiego ciśnienia</w:t>
            </w:r>
          </w:p>
          <w:p>
            <w:pPr>
              <w:pStyle w:val="Normal"/>
              <w:tabs>
                <w:tab w:val="clear" w:pos="708"/>
                <w:tab w:val="left" w:pos="48" w:leader="none"/>
                <w:tab w:val="left" w:pos="175" w:leader="none"/>
                <w:tab w:val="left" w:pos="1320" w:leader="none"/>
                <w:tab w:val="left" w:pos="1944" w:leader="none"/>
                <w:tab w:val="left" w:pos="2302" w:leader="none"/>
                <w:tab w:val="left" w:pos="2727" w:leader="none"/>
                <w:tab w:val="left" w:pos="3152" w:leader="none"/>
                <w:tab w:val="left" w:pos="3294" w:leader="none"/>
                <w:tab w:val="left" w:pos="3577" w:leader="none"/>
                <w:tab w:val="left" w:pos="4853" w:leader="none"/>
                <w:tab w:val="left" w:pos="5562" w:leader="none"/>
                <w:tab w:val="left" w:pos="6672" w:leader="none"/>
                <w:tab w:val="left" w:pos="8548" w:leader="none"/>
                <w:tab w:val="left" w:pos="14720" w:leader="none"/>
              </w:tabs>
              <w:spacing w:lineRule="atLeast" w:line="240" w:before="0" w:after="0"/>
              <w:rPr>
                <w:rFonts w:ascii="Times New Roman" w:hAnsi="Times New Roman" w:cs="Times New Roman"/>
              </w:rPr>
            </w:pPr>
            <w:r>
              <w:rPr>
                <w:rFonts w:cs="Times New Roman" w:ascii="Times New Roman" w:hAnsi="Times New Roman"/>
              </w:rPr>
              <w:t xml:space="preserve">-manometr wysokiego ciśnienia </w:t>
            </w:r>
          </w:p>
          <w:p>
            <w:pPr>
              <w:pStyle w:val="Normal"/>
              <w:tabs>
                <w:tab w:val="clear" w:pos="708"/>
                <w:tab w:val="left" w:pos="48" w:leader="none"/>
                <w:tab w:val="left" w:pos="175" w:leader="none"/>
                <w:tab w:val="left" w:pos="6542" w:leader="none"/>
                <w:tab w:val="left" w:pos="8548" w:leader="none"/>
                <w:tab w:val="left" w:pos="14720" w:leader="none"/>
              </w:tabs>
              <w:suppressAutoHyphens w:val="true"/>
              <w:spacing w:lineRule="atLeast" w:line="240" w:before="0" w:after="0"/>
              <w:rPr>
                <w:rFonts w:ascii="Times New Roman" w:hAnsi="Times New Roman" w:cs="Times New Roman"/>
              </w:rPr>
            </w:pPr>
            <w:r>
              <w:rPr>
                <w:rFonts w:cs="Times New Roman" w:ascii="Times New Roman" w:hAnsi="Times New Roman"/>
              </w:rPr>
              <w:t>-wskaźnik poziomu wody w zbiorniku samochodu</w:t>
            </w:r>
          </w:p>
          <w:p>
            <w:pPr>
              <w:pStyle w:val="Normal"/>
              <w:tabs>
                <w:tab w:val="clear" w:pos="708"/>
                <w:tab w:val="left" w:pos="48" w:leader="none"/>
                <w:tab w:val="left" w:pos="175" w:leader="none"/>
                <w:tab w:val="left" w:pos="6542" w:leader="none"/>
                <w:tab w:val="left" w:pos="8548" w:leader="none"/>
                <w:tab w:val="left" w:pos="14720" w:leader="none"/>
              </w:tabs>
              <w:suppressAutoHyphens w:val="true"/>
              <w:spacing w:lineRule="atLeast" w:line="240" w:before="0" w:after="0"/>
              <w:ind w:left="48" w:hanging="0"/>
              <w:rPr>
                <w:rFonts w:ascii="Times New Roman" w:hAnsi="Times New Roman" w:cs="Times New Roman"/>
              </w:rPr>
            </w:pPr>
            <w:r>
              <w:rPr>
                <w:rFonts w:cs="Times New Roman" w:ascii="Times New Roman" w:hAnsi="Times New Roman"/>
              </w:rPr>
              <w:t>-wskaźnik poziomu środka pianotwórczego w zbiorniku</w:t>
            </w:r>
          </w:p>
          <w:p>
            <w:pPr>
              <w:pStyle w:val="Normal"/>
              <w:tabs>
                <w:tab w:val="clear" w:pos="708"/>
                <w:tab w:val="left" w:pos="48" w:leader="none"/>
                <w:tab w:val="left" w:pos="175" w:leader="none"/>
                <w:tab w:val="left" w:pos="6542" w:leader="none"/>
                <w:tab w:val="left" w:pos="8548" w:leader="none"/>
                <w:tab w:val="left" w:pos="14720" w:leader="none"/>
              </w:tabs>
              <w:suppressAutoHyphens w:val="true"/>
              <w:spacing w:lineRule="atLeast" w:line="240" w:before="0" w:after="0"/>
              <w:ind w:left="48" w:hanging="0"/>
              <w:rPr>
                <w:rFonts w:ascii="Times New Roman" w:hAnsi="Times New Roman" w:cs="Times New Roman"/>
              </w:rPr>
            </w:pPr>
            <w:r>
              <w:rPr>
                <w:rFonts w:cs="Times New Roman" w:ascii="Times New Roman" w:hAnsi="Times New Roman"/>
              </w:rPr>
              <w:t>-regulator prędkości obrotowej silnika pojazdu</w:t>
            </w:r>
          </w:p>
          <w:p>
            <w:pPr>
              <w:pStyle w:val="Normal"/>
              <w:tabs>
                <w:tab w:val="clear" w:pos="708"/>
                <w:tab w:val="left" w:pos="175" w:leader="none"/>
                <w:tab w:val="decimal" w:pos="633" w:leader="none"/>
                <w:tab w:val="left" w:pos="868"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-miernik prędkości obrotowej wału pompy</w:t>
            </w:r>
          </w:p>
          <w:p>
            <w:pPr>
              <w:pStyle w:val="Normal"/>
              <w:tabs>
                <w:tab w:val="clear" w:pos="708"/>
                <w:tab w:val="left" w:pos="175" w:leader="none"/>
                <w:tab w:val="decimal" w:pos="633" w:leader="none"/>
                <w:tab w:val="left" w:pos="868"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-kontrolka  ciśnienia oleju i   temperatury cieczy chłodzącej silnik (stany awaryjne)</w:t>
            </w:r>
          </w:p>
          <w:p>
            <w:pPr>
              <w:pStyle w:val="Normal"/>
              <w:tabs>
                <w:tab w:val="clear" w:pos="708"/>
                <w:tab w:val="left" w:pos="175" w:leader="none"/>
                <w:tab w:val="decimal" w:pos="633" w:leader="none"/>
                <w:tab w:val="left" w:pos="868"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-kontrolka włączenia autopompy</w:t>
            </w:r>
          </w:p>
          <w:p>
            <w:pPr>
              <w:pStyle w:val="Normal"/>
              <w:tabs>
                <w:tab w:val="clear" w:pos="708"/>
                <w:tab w:val="left" w:pos="175" w:leader="none"/>
                <w:tab w:val="decimal" w:pos="633" w:leader="none"/>
                <w:tab w:val="left" w:pos="868"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-licznik czasu-pracy autopompy</w:t>
            </w:r>
          </w:p>
          <w:p>
            <w:pPr>
              <w:pStyle w:val="Normal"/>
              <w:tabs>
                <w:tab w:val="clear" w:pos="708"/>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r>
          </w:p>
          <w:p>
            <w:pPr>
              <w:pStyle w:val="Normal"/>
              <w:tabs>
                <w:tab w:val="clear" w:pos="708"/>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W przedziale autopompy należy, zamontować zespół:</w:t>
            </w:r>
          </w:p>
          <w:p>
            <w:pPr>
              <w:pStyle w:val="Normal"/>
              <w:spacing w:before="0" w:after="0"/>
              <w:rPr>
                <w:rFonts w:ascii="Times New Roman" w:hAnsi="Times New Roman" w:cs="Times New Roman"/>
              </w:rPr>
            </w:pPr>
            <w:r>
              <w:rPr>
                <w:rFonts w:cs="Times New Roman" w:ascii="Times New Roman" w:hAnsi="Times New Roman"/>
              </w:rPr>
              <w:t>- sterowania automatycznym układem utrzymywania stałego ciśnienia tłoczenia, z regulacją automatyczną i ręczną ciśnienia pracy</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3.10</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 xml:space="preserve">Przystawka odbioru mocy przystosowana do długiej pracy, z sygnalizacją włączenia w kabinie kierowcy.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3.11</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Dozownik środka pianotwórczego, dostosowany do wydajności autopompy, umożliwiający uzyskanie co najmniej  stężeń 3 i 6 % w całym zakresie pracy.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3.12</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3.13</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 xml:space="preserve">Konstrukcja układu wodno-pianowego powinna umożliwiać jego całkowite odwodnienie przy użyciu możliwie najmniejszej ilości zaworów.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3.14</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Przedział autopompy musi być wyposażony w system ogrzewania skutecznie zabezpieczający układ wodno-pianowy przed  zamarzaniem.</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3.15</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3.16</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3.17</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Zbiornik wody wykonany z materiałów kompozytowych o pojemności nominalnej min. 3 m</w:t>
            </w:r>
            <w:r>
              <w:rPr>
                <w:color w:val="auto"/>
                <w:sz w:val="22"/>
                <w:szCs w:val="22"/>
                <w:vertAlign w:val="superscript"/>
              </w:rPr>
              <w:t>3</w:t>
            </w:r>
            <w:r>
              <w:rPr>
                <w:color w:val="auto"/>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3.18</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3.19</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pPr>
              <w:pStyle w:val="Tretekstu"/>
              <w:rPr>
                <w:iCs/>
                <w:sz w:val="22"/>
                <w:szCs w:val="22"/>
              </w:rPr>
            </w:pPr>
            <w:r>
              <w:rPr>
                <w:iCs/>
                <w:sz w:val="22"/>
                <w:szCs w:val="22"/>
              </w:rPr>
              <w:t>Wszystkie nasady zewnętrzne, w zależności od ich przeznaczenia należy trwale oznaczyć odpowiednimi kolorami:</w:t>
            </w:r>
          </w:p>
          <w:p>
            <w:pPr>
              <w:pStyle w:val="Tretekstu"/>
              <w:rPr>
                <w:iCs/>
                <w:sz w:val="22"/>
                <w:szCs w:val="22"/>
              </w:rPr>
            </w:pPr>
            <w:r>
              <w:rPr>
                <w:iCs/>
                <w:sz w:val="22"/>
                <w:szCs w:val="22"/>
              </w:rPr>
              <w:t>-nasada wodna zasilająca kolor niebieski</w:t>
            </w:r>
          </w:p>
          <w:p>
            <w:pPr>
              <w:pStyle w:val="Tretekstu"/>
              <w:rPr>
                <w:iCs/>
                <w:sz w:val="22"/>
                <w:szCs w:val="22"/>
              </w:rPr>
            </w:pPr>
            <w:r>
              <w:rPr>
                <w:iCs/>
                <w:sz w:val="22"/>
                <w:szCs w:val="22"/>
              </w:rPr>
              <w:t>-nasada wodna tłoczna kolor czerwony</w:t>
            </w:r>
          </w:p>
          <w:p>
            <w:pPr>
              <w:pStyle w:val="Tretekstu"/>
              <w:rPr>
                <w:sz w:val="22"/>
                <w:szCs w:val="22"/>
              </w:rPr>
            </w:pPr>
            <w:r>
              <w:rPr>
                <w:iCs/>
                <w:sz w:val="22"/>
                <w:szCs w:val="22"/>
              </w:rPr>
              <w:t>-nasada środka pianotwórczego kolor żółty</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3.20</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rFonts w:cs="Times New Roman" w:ascii="Times New Roman" w:hAnsi="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w:t>
            </w:r>
            <w:r>
              <w:rPr/>
              <w:t xml:space="preserve"> sprężonego powietrza  </w:t>
            </w:r>
          </w:p>
          <w:p>
            <w:pPr>
              <w:pStyle w:val="Default"/>
              <w:rPr>
                <w:bCs/>
                <w:color w:val="auto"/>
              </w:rPr>
            </w:pPr>
            <w:r>
              <w:rPr>
                <w:color w:val="auto"/>
                <w:sz w:val="22"/>
                <w:szCs w:val="22"/>
              </w:rPr>
              <w:t xml:space="preserve">Narożnik kończący linie zabudowy po stronie szybkiego natarcia zabezpieczony przed wycieraniem kątownikiem ze stali nierdzewnej. </w:t>
            </w:r>
            <w:r>
              <w:rPr>
                <w:color w:val="auto"/>
              </w:rPr>
              <w:t xml:space="preserve">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3.21</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Działko wodno-pianowe DWP 16 o regulowanej wydajności</w:t>
            </w:r>
            <w:r>
              <w:rPr>
                <w:color w:val="auto"/>
              </w:rPr>
              <w:t xml:space="preserve"> min 800÷1600 l</w:t>
            </w:r>
            <w:r>
              <w:rPr>
                <w:color w:val="auto"/>
                <w:position w:val="10"/>
              </w:rPr>
              <w:t xml:space="preserve"> </w:t>
            </w:r>
            <w:r>
              <w:rPr>
                <w:color w:val="auto"/>
              </w:rPr>
              <w:t>/min</w:t>
            </w:r>
            <w:r>
              <w:rPr>
                <w:color w:val="auto"/>
                <w:sz w:val="22"/>
                <w:szCs w:val="22"/>
              </w:rPr>
              <w:t xml:space="preserve">, z nakładką do piany oraz z regulacją strumienia (zwarty, rozproszony) umieszczone na dachu zabudowy pojazdu. </w:t>
            </w:r>
          </w:p>
          <w:p>
            <w:pPr>
              <w:pStyle w:val="Default"/>
              <w:rPr>
                <w:color w:val="auto"/>
                <w:sz w:val="22"/>
                <w:szCs w:val="22"/>
              </w:rPr>
            </w:pPr>
            <w:r>
              <w:rPr>
                <w:color w:val="auto"/>
                <w:sz w:val="22"/>
                <w:szCs w:val="22"/>
              </w:rPr>
              <w:t>Przy podstawie działka powinien być zamontowany zawór odcinający kulowy ręczny.</w:t>
            </w:r>
          </w:p>
          <w:p>
            <w:pPr>
              <w:pStyle w:val="Default"/>
              <w:rPr>
                <w:color w:val="auto"/>
                <w:sz w:val="22"/>
                <w:szCs w:val="22"/>
              </w:rPr>
            </w:pPr>
            <w:r>
              <w:rPr>
                <w:color w:val="auto"/>
                <w:sz w:val="22"/>
                <w:szCs w:val="22"/>
              </w:rPr>
              <w:t xml:space="preserve"> </w:t>
            </w:r>
            <w:r>
              <w:rPr>
                <w:color w:val="auto"/>
                <w:sz w:val="22"/>
                <w:szCs w:val="22"/>
              </w:rPr>
              <w:t xml:space="preserve">Dopuszcza się, aby zamiast zaworu odcinającego kulowego ręcznego, zamontowanego przy podstawie działka ,zostało zastosowane inne rozwiązanie ,umożliwiające odcięcie dopływu wody bezpośrednio ze stanowiska obsługi działka , </w:t>
            </w:r>
          </w:p>
          <w:p>
            <w:pPr>
              <w:pStyle w:val="Default"/>
              <w:rPr>
                <w:color w:val="auto"/>
                <w:sz w:val="22"/>
                <w:szCs w:val="22"/>
              </w:rPr>
            </w:pPr>
            <w:r>
              <w:rPr>
                <w:color w:val="auto"/>
                <w:sz w:val="22"/>
                <w:szCs w:val="22"/>
              </w:rPr>
              <w:t>np. elektrozawór na linii do działka ,zamontowany w ogrzewanym przedziale autopompy.</w:t>
            </w:r>
          </w:p>
          <w:p>
            <w:pPr>
              <w:pStyle w:val="Normal"/>
              <w:spacing w:before="0" w:after="0"/>
              <w:rPr>
                <w:rFonts w:ascii="Times New Roman" w:hAnsi="Times New Roman" w:cs="Times New Roman"/>
              </w:rPr>
            </w:pPr>
            <w:r>
              <w:rPr>
                <w:rFonts w:cs="Times New Roman" w:ascii="Times New Roman" w:hAnsi="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b/>
                <w:b/>
                <w:sz w:val="28"/>
                <w:szCs w:val="28"/>
              </w:rPr>
            </w:pPr>
            <w:r>
              <w:rPr>
                <w:b/>
                <w:sz w:val="28"/>
                <w:szCs w:val="28"/>
              </w:rPr>
            </w:r>
          </w:p>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3.22</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Pojazd wyposażony w wysuwany pneumatycznie, obrotowy maszt oświetleniowy, zabudowany na stałe w pojeździe, </w:t>
              <w:br/>
              <w:t xml:space="preserve">z reflektorami LED o łącznej wielkości strumienia świetlnego min. 30 000 lm </w:t>
            </w:r>
            <w:r>
              <w:rPr>
                <w:color w:val="auto"/>
              </w:rPr>
              <w:t xml:space="preserve"> zasilany z instalacji elektrycznej pojazdu napięciem  24V</w:t>
            </w:r>
            <w:r>
              <w:rPr>
                <w:color w:val="auto"/>
                <w:sz w:val="22"/>
                <w:szCs w:val="22"/>
              </w:rPr>
              <w:t xml:space="preserve"> Wysokość min. 5 m od podłoża, na którym stoi pojazd do opraw czołowych reflektorów ustawionych poziomo, z możliwością sterowania reflektorami w pionie i w poziomie. Stopień ochrony masztu </w:t>
              <w:br/>
              <w:t>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pPr>
              <w:pStyle w:val="Default"/>
              <w:rPr>
                <w:color w:val="auto"/>
                <w:sz w:val="22"/>
                <w:szCs w:val="22"/>
              </w:rPr>
            </w:pPr>
            <w:r>
              <w:rPr>
                <w:color w:val="auto"/>
                <w:sz w:val="22"/>
                <w:szCs w:val="22"/>
              </w:rPr>
              <w:t>Dodatkowo wymagane:</w:t>
            </w:r>
          </w:p>
          <w:p>
            <w:pPr>
              <w:pStyle w:val="Standard"/>
              <w:rPr>
                <w:sz w:val="22"/>
                <w:szCs w:val="22"/>
              </w:rPr>
            </w:pPr>
            <w:r>
              <w:rPr>
                <w:sz w:val="22"/>
                <w:szCs w:val="22"/>
              </w:rPr>
              <w:t>- obrót i pochył reflektorów, o kąt co najmniej od 0º ÷ 170º - w obie strony</w:t>
            </w:r>
          </w:p>
          <w:p>
            <w:pPr>
              <w:pStyle w:val="Standard"/>
              <w:rPr>
                <w:sz w:val="22"/>
                <w:szCs w:val="22"/>
              </w:rPr>
            </w:pPr>
            <w:r>
              <w:rPr>
                <w:sz w:val="22"/>
                <w:szCs w:val="22"/>
              </w:rPr>
              <w:t xml:space="preserve">- </w:t>
            </w: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 xml:space="preserve">ręcznego wspomagania </w:t>
            </w:r>
          </w:p>
          <w:p>
            <w:pPr>
              <w:pStyle w:val="Standard"/>
              <w:rPr>
                <w:sz w:val="22"/>
                <w:szCs w:val="22"/>
              </w:rPr>
            </w:pPr>
            <w:r>
              <w:rPr>
                <w:sz w:val="22"/>
                <w:szCs w:val="22"/>
              </w:rPr>
              <w:t xml:space="preserve">- możliwość zatrzymywania wysuwu i sterowania  masztem na różnej wysokości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3.23</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40"/>
              <w:rPr>
                <w:sz w:val="22"/>
                <w:szCs w:val="22"/>
              </w:rPr>
            </w:pPr>
            <w:r>
              <w:rPr>
                <w:sz w:val="22"/>
                <w:szCs w:val="22"/>
              </w:rPr>
              <w:t xml:space="preserve">Samochód należy doposażyć w  : </w:t>
            </w:r>
          </w:p>
          <w:p>
            <w:pPr>
              <w:pStyle w:val="Standard"/>
              <w:spacing w:lineRule="auto" w:line="240"/>
              <w:rPr>
                <w:sz w:val="22"/>
                <w:szCs w:val="22"/>
              </w:rPr>
            </w:pPr>
            <w:r>
              <w:rPr>
                <w:sz w:val="22"/>
                <w:szCs w:val="22"/>
              </w:rPr>
              <w:t>- instalację układu zraszaczy zasilanych od autopompy do podawania wody w czasie jazdy</w:t>
            </w:r>
          </w:p>
          <w:p>
            <w:pPr>
              <w:pStyle w:val="Przypiskocowy"/>
              <w:spacing w:lineRule="auto" w:line="240"/>
              <w:rPr>
                <w:sz w:val="22"/>
                <w:szCs w:val="22"/>
              </w:rPr>
            </w:pPr>
            <w:r>
              <w:rPr>
                <w:sz w:val="22"/>
                <w:szCs w:val="22"/>
              </w:rPr>
              <w:t xml:space="preserve">- z przodu pojazdu montaż wyciągarki  elektrycznej o sile uciągu minimum – 8 ton z liną o długości min. 25m,   </w:t>
            </w:r>
          </w:p>
          <w:p>
            <w:pPr>
              <w:pStyle w:val="Przypiskocowy"/>
              <w:spacing w:lineRule="auto" w:line="240"/>
              <w:rPr>
                <w:sz w:val="22"/>
                <w:szCs w:val="22"/>
              </w:rPr>
            </w:pPr>
            <w:r>
              <w:rPr>
                <w:sz w:val="22"/>
                <w:szCs w:val="22"/>
              </w:rPr>
              <w:t xml:space="preserve">  </w:t>
            </w:r>
            <w:r>
              <w:rPr>
                <w:sz w:val="22"/>
                <w:szCs w:val="22"/>
              </w:rPr>
              <w:t>wyciągarka zamontowana w zewnętrznej obudowie kompozytowej</w:t>
            </w:r>
          </w:p>
          <w:p>
            <w:pPr>
              <w:pStyle w:val="Normal"/>
              <w:spacing w:lineRule="auto" w:line="240" w:before="0" w:after="0"/>
              <w:rPr>
                <w:rFonts w:ascii="Times New Roman" w:hAnsi="Times New Roman" w:cs="Times New Roman"/>
              </w:rPr>
            </w:pPr>
            <w:r>
              <w:rPr>
                <w:rFonts w:cs="Times New Roman" w:ascii="Times New Roman" w:hAnsi="Times New Roman"/>
              </w:rPr>
              <w:t>- światła do jazdy dziennej - zabezpieczone osłonami ochronnymi</w:t>
            </w:r>
          </w:p>
          <w:p>
            <w:pPr>
              <w:pStyle w:val="Normal"/>
              <w:spacing w:lineRule="auto" w:line="240" w:before="0" w:after="0"/>
              <w:rPr>
                <w:rFonts w:ascii="Times New Roman" w:hAnsi="Times New Roman" w:cs="Times New Roman"/>
              </w:rPr>
            </w:pPr>
            <w:r>
              <w:rPr>
                <w:rFonts w:cs="Times New Roman" w:ascii="Times New Roman" w:hAnsi="Times New Roman"/>
              </w:rPr>
              <w:t>- pionową paletę obrotową w jednym z schowków bocznych na sprzęt burzący wraz z jego mocowaniem oraz mocowaniem pił i pilarek</w:t>
            </w:r>
          </w:p>
          <w:p>
            <w:pPr>
              <w:pStyle w:val="Normal"/>
              <w:spacing w:lineRule="auto" w:line="240" w:before="0" w:after="0"/>
              <w:rPr>
                <w:rFonts w:ascii="Times New Roman" w:hAnsi="Times New Roman" w:cs="Times New Roman"/>
              </w:rPr>
            </w:pPr>
            <w:r>
              <w:rPr>
                <w:rFonts w:cs="Times New Roman" w:ascii="Times New Roman" w:hAnsi="Times New Roman"/>
              </w:rPr>
              <w:t xml:space="preserve">- wszystkie podesty boczne ,otwierane wyposażone w oświetlenie ostrzegawcze, migające, żółte, umieszczone na </w:t>
            </w:r>
          </w:p>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bokach poprzecznych każdego podest</w:t>
            </w:r>
          </w:p>
          <w:p>
            <w:pPr>
              <w:pStyle w:val="Normal"/>
              <w:spacing w:lineRule="auto" w:line="240" w:before="0" w:after="0"/>
              <w:rPr>
                <w:rFonts w:ascii="Times New Roman" w:hAnsi="Times New Roman" w:cs="Times New Roman"/>
              </w:rPr>
            </w:pPr>
            <w:r>
              <w:rPr>
                <w:rFonts w:cs="Times New Roman" w:ascii="Times New Roman" w:hAnsi="Times New Roman"/>
              </w:rPr>
              <w:t>- krawędzie regałów obrotowych (w przednich skrytkach  i  na sprzęt burzący), mocowanie pachołków i klapa skrzyni na dachu lakierowane w kolorze jaskrawej zieleni</w:t>
            </w:r>
          </w:p>
          <w:p>
            <w:pPr>
              <w:pStyle w:val="Default"/>
              <w:spacing w:lineRule="auto" w:line="240"/>
              <w:rPr>
                <w:color w:val="auto"/>
                <w:sz w:val="22"/>
                <w:szCs w:val="22"/>
              </w:rPr>
            </w:pPr>
            <w:r>
              <w:rPr>
                <w:color w:val="auto"/>
                <w:sz w:val="22"/>
                <w:szCs w:val="22"/>
              </w:rPr>
              <w:t>-Lampy ledowe dalekosiężne, okrągłe-o średnicy,  min Ø 180mm - 4szt, na orurowaniu aluminiowym, anodowanym,  profilowanym wzdłużnie i kształtowo o długości min 1800mm i średnicy rury min. Ø60mm , mocowane  z przodu  pojazdu.</w:t>
            </w:r>
          </w:p>
          <w:p>
            <w:pPr>
              <w:pStyle w:val="Normal"/>
              <w:spacing w:lineRule="auto" w:line="240" w:before="0" w:after="0"/>
              <w:rPr>
                <w:rFonts w:ascii="Times New Roman" w:hAnsi="Times New Roman" w:cs="Times New Roman"/>
              </w:rPr>
            </w:pPr>
            <w:r>
              <w:rPr>
                <w:rFonts w:cs="Times New Roman" w:ascii="Times New Roman" w:hAnsi="Times New Roman"/>
              </w:rPr>
              <w:t>-Szafka kabinowa  dla załogi ,zamontowana pomiędzy przedziałem przednim i tylnym w kabinie zespolonej wyposażona we wnękę z podziałem pionowym na min 5 części</w:t>
            </w:r>
          </w:p>
          <w:p>
            <w:pPr>
              <w:pStyle w:val="Normal"/>
              <w:spacing w:lineRule="auto" w:line="240" w:before="0" w:after="0"/>
              <w:rPr>
                <w:rFonts w:ascii="Times New Roman" w:hAnsi="Times New Roman" w:cs="Times New Roman"/>
              </w:rPr>
            </w:pPr>
            <w:r>
              <w:rPr>
                <w:rFonts w:cs="Times New Roman" w:ascii="Times New Roman" w:hAnsi="Times New Roman"/>
              </w:rPr>
              <w:t xml:space="preserve">- W miejscu mocowania koła zapasowego, do stałego przewożenia w nadwoziu, przewidzieć i wykonać 2 półki </w:t>
              <w:br/>
              <w:t>z możliwością regulowania wysokości.</w:t>
            </w:r>
          </w:p>
          <w:p>
            <w:pPr>
              <w:pStyle w:val="Przypiskocowy"/>
              <w:tabs>
                <w:tab w:val="clear" w:pos="708"/>
                <w:tab w:val="left" w:pos="175" w:leader="none"/>
              </w:tabs>
              <w:spacing w:lineRule="auto" w:line="240"/>
              <w:rPr>
                <w:sz w:val="22"/>
                <w:szCs w:val="22"/>
              </w:rPr>
            </w:pPr>
            <w:r>
              <w:rPr>
                <w:sz w:val="22"/>
                <w:szCs w:val="22"/>
              </w:rPr>
              <w:t xml:space="preserve">-moduł sanitarny, wysuwny zamontowany w tylnym lewym schowku -z wysuwną paletą na sprzęt sanitarny </w:t>
              <w:br/>
              <w:t>z doprowadzoną wodą i urządzeniem do przedmuchu powietrza oraz  sprężonym powietrzem, z przewodem spiralnym z końcówką „pistoletową”, miejscem na podstawowe środki czystości</w:t>
            </w:r>
          </w:p>
          <w:p>
            <w:pPr>
              <w:pStyle w:val="Normal"/>
              <w:spacing w:lineRule="auto" w:line="240" w:before="0" w:after="0"/>
              <w:rPr>
                <w:rFonts w:ascii="Times New Roman" w:hAnsi="Times New Roman" w:cs="Times New Roman"/>
              </w:rPr>
            </w:pPr>
            <w:r>
              <w:rPr>
                <w:rFonts w:cs="Times New Roman" w:ascii="Times New Roman" w:hAnsi="Times New Roman"/>
              </w:rPr>
              <w:t>- Radiostacje przenośne z ładowarkami , zamontowane na podeście w kabinie -4 szt</w:t>
            </w:r>
          </w:p>
          <w:p>
            <w:pPr>
              <w:pStyle w:val="Normal"/>
              <w:spacing w:lineRule="auto" w:line="240" w:before="0" w:after="0"/>
              <w:rPr>
                <w:rFonts w:ascii="Times New Roman" w:hAnsi="Times New Roman" w:cs="Times New Roman"/>
              </w:rPr>
            </w:pPr>
            <w:r>
              <w:rPr>
                <w:rFonts w:cs="Times New Roman" w:ascii="Times New Roman" w:hAnsi="Times New Roman"/>
              </w:rPr>
              <w:t>- Latarki kątowe typu Ex z ładowarkami, zamontowane na podeście w kabinie -4 szt</w:t>
            </w:r>
          </w:p>
          <w:p>
            <w:pPr>
              <w:pStyle w:val="Normal"/>
              <w:spacing w:lineRule="auto" w:line="240" w:before="0" w:after="0"/>
              <w:rPr>
                <w:rFonts w:ascii="Times New Roman" w:hAnsi="Times New Roman" w:cs="Times New Roman"/>
              </w:rPr>
            </w:pPr>
            <w:r>
              <w:rPr>
                <w:rFonts w:cs="Times New Roman" w:ascii="Times New Roman" w:hAnsi="Times New Roman"/>
              </w:rPr>
              <w:t>- na tylnej lewej stronie nadwozia, zamontować uchwyt do przewożenia pachołków</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spacing w:before="0" w:after="160"/>
              <w:jc w:val="center"/>
              <w:rPr>
                <w:b/>
                <w:b/>
                <w:sz w:val="24"/>
                <w:szCs w:val="24"/>
              </w:rPr>
            </w:pPr>
            <w:r>
              <w:rPr>
                <w:b/>
                <w:sz w:val="24"/>
                <w:szCs w:val="24"/>
              </w:rPr>
              <w:t>4</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widowControl/>
              <w:bidi w:val="0"/>
              <w:spacing w:lineRule="auto" w:line="259" w:before="0" w:after="160"/>
              <w:jc w:val="left"/>
              <w:rPr>
                <w:b/>
                <w:b/>
                <w:bCs/>
                <w:sz w:val="24"/>
                <w:szCs w:val="24"/>
              </w:rPr>
            </w:pPr>
            <w:r>
              <w:rPr>
                <w:b/>
                <w:bCs/>
                <w:sz w:val="24"/>
                <w:szCs w:val="24"/>
              </w:rPr>
              <w:t>Wyposażenie ratownicze dostarczone przez Wykonawcę wraz z pojazdem</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4.1</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zypiskocowy"/>
              <w:rPr>
                <w:sz w:val="22"/>
                <w:szCs w:val="22"/>
              </w:rPr>
            </w:pPr>
            <w:r>
              <w:rPr>
                <w:sz w:val="22"/>
                <w:szCs w:val="22"/>
              </w:rPr>
              <w:t>Na pojeździe  zapewnione miejsce na przewożenie sprzętu zgodnie z  „Wymaganiami dla średnich samochodów ratowniczo-gaśniczych”</w:t>
            </w:r>
          </w:p>
          <w:p>
            <w:pPr>
              <w:pStyle w:val="Przypiskocowy"/>
              <w:rPr>
                <w:sz w:val="22"/>
                <w:szCs w:val="22"/>
              </w:rPr>
            </w:pPr>
            <w:r>
              <w:rPr>
                <w:sz w:val="22"/>
                <w:szCs w:val="22"/>
              </w:rPr>
              <w:t xml:space="preserve">Szczegóły dotyczące rozmieszczenia sprzętu do uzgodnienia z użytkownikiem na etapie realizacji zamówienia </w:t>
            </w:r>
          </w:p>
          <w:p>
            <w:pPr>
              <w:pStyle w:val="Przypiskocowy"/>
              <w:rPr>
                <w:sz w:val="22"/>
                <w:szCs w:val="22"/>
              </w:rPr>
            </w:pPr>
            <w:r>
              <w:rPr>
                <w:sz w:val="22"/>
                <w:szCs w:val="22"/>
              </w:rPr>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spacing w:before="0" w:after="160"/>
              <w:jc w:val="center"/>
              <w:rPr>
                <w:b/>
                <w:b/>
                <w:sz w:val="24"/>
                <w:szCs w:val="24"/>
              </w:rPr>
            </w:pPr>
            <w:r>
              <w:rPr>
                <w:b/>
                <w:sz w:val="24"/>
                <w:szCs w:val="24"/>
              </w:rPr>
              <w:t>5</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Pozostałe warunki Zamawiającego</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themeFill="background1" w:themeFillShade="bf" w:val="clear"/>
          </w:tcPr>
          <w:p>
            <w:pPr>
              <w:pStyle w:val="Normal"/>
              <w:spacing w:before="0" w:after="160"/>
              <w:jc w:val="center"/>
              <w:rPr>
                <w:b/>
                <w:b/>
                <w:sz w:val="24"/>
                <w:szCs w:val="24"/>
              </w:rPr>
            </w:pPr>
            <w:r>
              <w:rPr>
                <w:b/>
                <w:sz w:val="24"/>
                <w:szCs w:val="24"/>
              </w:rPr>
              <w:t>Propozycje Wykonawcy</w:t>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5.1</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color w:val="auto"/>
                <w:sz w:val="22"/>
                <w:szCs w:val="22"/>
              </w:rPr>
            </w:pPr>
            <w:r>
              <w:rPr>
                <w:color w:val="auto"/>
                <w:sz w:val="22"/>
                <w:szCs w:val="22"/>
              </w:rPr>
              <w:t xml:space="preserve">Zamawiający wymaga objęcia pojazdu minimalnym okresem gwarancji </w:t>
            </w:r>
            <w:r>
              <w:rPr>
                <w:b/>
                <w:bCs/>
                <w:color w:val="auto"/>
                <w:sz w:val="22"/>
                <w:szCs w:val="22"/>
              </w:rPr>
              <w:t xml:space="preserve">– 24 miesiące.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5.2</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 xml:space="preserve">Minimum jeden punkt serwisowy podwozia (podać adres serwisu podwozia, najbliższy siedzibie Zamawiającego).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5.3</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Cs/>
                <w:color w:val="auto"/>
                <w:sz w:val="22"/>
                <w:szCs w:val="22"/>
              </w:rPr>
            </w:pPr>
            <w:r>
              <w:rPr>
                <w:color w:val="auto"/>
                <w:sz w:val="22"/>
                <w:szCs w:val="22"/>
              </w:rPr>
              <w:t xml:space="preserve">Minimum jeden punkt serwisowy nadwozia (podać adres serwisu nadwozia najbliższy siedzibie Zamawiającego).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r>
        <w:trPr>
          <w:trHeight w:val="109"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t>5.4</w:t>
            </w:r>
          </w:p>
        </w:tc>
        <w:tc>
          <w:tcPr>
            <w:tcW w:w="10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sz w:val="22"/>
                <w:szCs w:val="22"/>
              </w:rPr>
            </w:pPr>
            <w:r>
              <w:rPr>
                <w:color w:val="auto"/>
                <w:sz w:val="22"/>
                <w:szCs w:val="22"/>
              </w:rPr>
              <w:t xml:space="preserve">Wykonawca obowiązany jest do dostarczenia wraz z pojazdem: </w:t>
            </w:r>
          </w:p>
          <w:p>
            <w:pPr>
              <w:pStyle w:val="Default"/>
              <w:rPr>
                <w:color w:val="auto"/>
                <w:sz w:val="22"/>
                <w:szCs w:val="22"/>
              </w:rPr>
            </w:pPr>
            <w:r>
              <w:rPr>
                <w:color w:val="auto"/>
                <w:sz w:val="22"/>
                <w:szCs w:val="22"/>
              </w:rPr>
              <w:t xml:space="preserve">- instrukcji obsługi w języku polskim do podwozia samochodu, zabudowy pożarniczej i zainstalowanych urządzeń i wyposażenia, </w:t>
            </w:r>
          </w:p>
          <w:p>
            <w:pPr>
              <w:pStyle w:val="Default"/>
              <w:rPr>
                <w:color w:val="auto"/>
                <w:sz w:val="22"/>
                <w:szCs w:val="22"/>
              </w:rPr>
            </w:pPr>
            <w:r>
              <w:rPr>
                <w:color w:val="auto"/>
                <w:sz w:val="22"/>
                <w:szCs w:val="22"/>
              </w:rPr>
              <w:t xml:space="preserve">- aktualne świadectwo dopuszczenia świadectwo dopuszczenia do użytkowania w ochronie przeciwpożarowej dla pojazdu, </w:t>
            </w:r>
          </w:p>
          <w:p>
            <w:pPr>
              <w:pStyle w:val="Normal"/>
              <w:rPr>
                <w:rFonts w:ascii="Times New Roman" w:hAnsi="Times New Roman" w:cs="Times New Roman"/>
              </w:rPr>
            </w:pPr>
            <w:r>
              <w:rPr>
                <w:rFonts w:cs="Times New Roman" w:ascii="Times New Roman" w:hAnsi="Times New Roman"/>
              </w:rPr>
              <w:t xml:space="preserve">- dokumentacji niezbędnej do zarejestrowania pojazdu jako „samochód specjalny”, wynikającej z ustawy „Prawo o ruchu drogowym”. </w:t>
            </w:r>
          </w:p>
          <w:p>
            <w:pPr>
              <w:pStyle w:val="Normal"/>
              <w:widowControl/>
              <w:bidi w:val="0"/>
              <w:spacing w:lineRule="auto" w:line="259" w:before="0" w:after="160"/>
              <w:jc w:val="left"/>
              <w:rPr>
                <w:rFonts w:ascii="Times New Roman" w:hAnsi="Times New Roman" w:cs="Times New Roman"/>
                <w:bCs/>
              </w:rPr>
            </w:pPr>
            <w:r>
              <w:rPr>
                <w:rFonts w:cs="Times New Roman" w:ascii="Times New Roman" w:hAnsi="Times New Roman"/>
              </w:rPr>
              <w:t xml:space="preserve">Samochód wydany z pełnym zbiornikiem paliwa oraz adblue </w:t>
            </w:r>
          </w:p>
        </w:tc>
        <w:tc>
          <w:tcPr>
            <w:tcW w:w="4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b/>
                <w:b/>
              </w:rPr>
            </w:pPr>
            <w:r>
              <w:rPr>
                <w:b/>
              </w:rPr>
            </w:r>
          </w:p>
        </w:tc>
      </w:tr>
    </w:tbl>
    <w:p>
      <w:pPr>
        <w:pStyle w:val="Normal"/>
        <w:jc w:val="center"/>
        <w:rPr>
          <w:rFonts w:ascii="Times New Roman" w:hAnsi="Times New Roman" w:cs="Times New Roman"/>
          <w:sz w:val="24"/>
          <w:szCs w:val="24"/>
        </w:rPr>
      </w:pPr>
      <w:r>
        <w:rPr>
          <w:rFonts w:cs="Times New Roman" w:ascii="Times New Roman" w:hAnsi="Times New Roman"/>
          <w:sz w:val="24"/>
          <w:szCs w:val="24"/>
        </w:rPr>
        <w:t>Uwaga: Wykonawca wypełnia kolumnę „Propozycje Wykonawcy”, podając konkretny parametr lub wpisując np. wersję rozwiązania lub wyraz „spełnia”.</w:t>
      </w:r>
    </w:p>
    <w:p>
      <w:pPr>
        <w:pStyle w:val="Normal"/>
        <w:spacing w:before="0" w:after="160"/>
        <w:jc w:val="center"/>
        <w:rPr/>
      </w:pPr>
      <w:r>
        <w:rPr/>
      </w:r>
    </w:p>
    <w:sectPr>
      <w:footerReference w:type="default" r:id="rId2"/>
      <w:type w:val="nextPage"/>
      <w:pgSz w:orient="landscape" w:w="16838" w:h="11906"/>
      <w:pgMar w:left="454" w:right="454" w:header="0" w:top="454"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2232073"/>
    </w:sdtPr>
    <w:sdtContent>
      <w:p>
        <w:pPr>
          <w:pStyle w:val="Stopka"/>
          <w:jc w:val="right"/>
          <w:rPr/>
        </w:pPr>
        <w:r>
          <w:rPr/>
          <w:fldChar w:fldCharType="begin"/>
        </w:r>
        <w:r>
          <w:rPr/>
          <w:instrText> PAGE </w:instrText>
        </w:r>
        <w:r>
          <w:rPr/>
          <w:fldChar w:fldCharType="separate"/>
        </w:r>
        <w:r>
          <w:rPr/>
          <w:t>9</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c61b17"/>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name w:val="Heading 2"/>
    <w:basedOn w:val="Normal"/>
    <w:next w:val="Normal"/>
    <w:link w:val="Nagwek2Znak"/>
    <w:uiPriority w:val="9"/>
    <w:unhideWhenUsed/>
    <w:qFormat/>
    <w:rsid w:val="002850be"/>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Nagwek3">
    <w:name w:val="Heading 3"/>
    <w:basedOn w:val="Normal"/>
    <w:next w:val="Normal"/>
    <w:link w:val="Nagwek3Znak"/>
    <w:uiPriority w:val="9"/>
    <w:unhideWhenUsed/>
    <w:qFormat/>
    <w:rsid w:val="006b589c"/>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qFormat/>
    <w:rsid w:val="003a75b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3a75ba"/>
    <w:rPr>
      <w:rFonts w:ascii="Times New Roman" w:hAnsi="Times New Roman" w:eastAsia="Times New Roman" w:cs="Times New Roman"/>
      <w:sz w:val="24"/>
      <w:szCs w:val="20"/>
      <w:lang w:eastAsia="pl-PL"/>
    </w:rPr>
  </w:style>
  <w:style w:type="character" w:styleId="NagwekZnak" w:customStyle="1">
    <w:name w:val="Nagłówek Znak"/>
    <w:basedOn w:val="DefaultParagraphFont"/>
    <w:link w:val="Nagwek"/>
    <w:qFormat/>
    <w:rsid w:val="00d127a8"/>
    <w:rPr>
      <w:rFonts w:ascii="Times New Roman" w:hAnsi="Times New Roman" w:eastAsia="Times New Roman" w:cs="Times New Roman"/>
      <w:sz w:val="24"/>
      <w:szCs w:val="24"/>
      <w:lang w:eastAsia="pl-PL"/>
    </w:rPr>
  </w:style>
  <w:style w:type="character" w:styleId="Nagwek3Znak" w:customStyle="1">
    <w:name w:val="Nagłówek 3 Znak"/>
    <w:basedOn w:val="DefaultParagraphFont"/>
    <w:link w:val="Nagwek3"/>
    <w:uiPriority w:val="9"/>
    <w:qFormat/>
    <w:rsid w:val="006b589c"/>
    <w:rPr>
      <w:rFonts w:ascii="Calibri Light" w:hAnsi="Calibri Light" w:eastAsia="" w:cs="" w:asciiTheme="majorHAnsi" w:cstheme="majorBidi" w:eastAsiaTheme="majorEastAsia" w:hAnsiTheme="majorHAnsi"/>
      <w:color w:val="1F3763" w:themeColor="accent1" w:themeShade="7f"/>
      <w:sz w:val="24"/>
      <w:szCs w:val="24"/>
    </w:rPr>
  </w:style>
  <w:style w:type="character" w:styleId="Nagwek2Znak" w:customStyle="1">
    <w:name w:val="Nagłówek 2 Znak"/>
    <w:basedOn w:val="DefaultParagraphFont"/>
    <w:link w:val="Nagwek2"/>
    <w:qFormat/>
    <w:rsid w:val="002850be"/>
    <w:rPr>
      <w:rFonts w:ascii="Calibri Light" w:hAnsi="Calibri Light" w:eastAsia="" w:cs="" w:asciiTheme="majorHAnsi" w:cstheme="majorBidi" w:eastAsiaTheme="majorEastAsia" w:hAnsiTheme="majorHAnsi"/>
      <w:color w:val="2F5496" w:themeColor="accent1" w:themeShade="bf"/>
      <w:sz w:val="26"/>
      <w:szCs w:val="26"/>
    </w:rPr>
  </w:style>
  <w:style w:type="character" w:styleId="Nagwek1Znak" w:customStyle="1">
    <w:name w:val="Nagłówek 1 Znak"/>
    <w:basedOn w:val="DefaultParagraphFont"/>
    <w:link w:val="Nagwek1"/>
    <w:uiPriority w:val="9"/>
    <w:qFormat/>
    <w:rsid w:val="00c61b17"/>
    <w:rPr>
      <w:rFonts w:ascii="Calibri Light" w:hAnsi="Calibri Light" w:eastAsia="" w:cs="" w:asciiTheme="majorHAnsi" w:cstheme="majorBidi" w:eastAsiaTheme="majorEastAsia" w:hAnsiTheme="majorHAnsi"/>
      <w:color w:val="2F5496" w:themeColor="accent1" w:themeShade="bf"/>
      <w:sz w:val="32"/>
      <w:szCs w:val="32"/>
    </w:rPr>
  </w:style>
  <w:style w:type="character" w:styleId="StopkaZnak" w:customStyle="1">
    <w:name w:val="Stopka Znak"/>
    <w:basedOn w:val="DefaultParagraphFont"/>
    <w:link w:val="Stopka"/>
    <w:uiPriority w:val="99"/>
    <w:qFormat/>
    <w:rsid w:val="005c512a"/>
    <w:rPr/>
  </w:style>
  <w:style w:type="character" w:styleId="TekstdymkaZnak" w:customStyle="1">
    <w:name w:val="Tekst dymka Znak"/>
    <w:basedOn w:val="DefaultParagraphFont"/>
    <w:link w:val="Tekstdymka"/>
    <w:uiPriority w:val="99"/>
    <w:semiHidden/>
    <w:qFormat/>
    <w:rsid w:val="00ad706d"/>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18"/>
      <w:szCs w:val="18"/>
    </w:rPr>
  </w:style>
  <w:style w:type="character" w:styleId="ListLabel5">
    <w:name w:val="ListLabel 5"/>
    <w:qFormat/>
    <w:rPr>
      <w:rFonts w:cs="StarBats"/>
      <w:sz w:val="18"/>
      <w:szCs w:val="18"/>
    </w:rPr>
  </w:style>
  <w:style w:type="character" w:styleId="ListLabel6">
    <w:name w:val="ListLabel 6"/>
    <w:qFormat/>
    <w:rPr>
      <w:rFonts w:cs="StarBats"/>
      <w:sz w:val="18"/>
      <w:szCs w:val="18"/>
    </w:rPr>
  </w:style>
  <w:style w:type="character" w:styleId="ListLabel7">
    <w:name w:val="ListLabel 7"/>
    <w:qFormat/>
    <w:rPr>
      <w:rFonts w:cs="StarBats"/>
      <w:sz w:val="18"/>
      <w:szCs w:val="18"/>
    </w:rPr>
  </w:style>
  <w:style w:type="character" w:styleId="ListLabel8">
    <w:name w:val="ListLabel 8"/>
    <w:qFormat/>
    <w:rPr>
      <w:rFonts w:cs="StarBats"/>
      <w:sz w:val="18"/>
      <w:szCs w:val="18"/>
    </w:rPr>
  </w:style>
  <w:style w:type="character" w:styleId="ListLabel9">
    <w:name w:val="ListLabel 9"/>
    <w:qFormat/>
    <w:rPr>
      <w:rFonts w:cs="StarBats"/>
      <w:sz w:val="18"/>
      <w:szCs w:val="18"/>
    </w:rPr>
  </w:style>
  <w:style w:type="character" w:styleId="ListLabel10">
    <w:name w:val="ListLabel 10"/>
    <w:qFormat/>
    <w:rPr>
      <w:rFonts w:cs="StarBats"/>
      <w:sz w:val="18"/>
      <w:szCs w:val="18"/>
    </w:rPr>
  </w:style>
  <w:style w:type="character" w:styleId="ListLabel11">
    <w:name w:val="ListLabel 11"/>
    <w:qFormat/>
    <w:rPr>
      <w:rFonts w:cs="StarBats"/>
      <w:sz w:val="18"/>
      <w:szCs w:val="18"/>
    </w:rPr>
  </w:style>
  <w:style w:type="character" w:styleId="ListLabel12">
    <w:name w:val="ListLabel 12"/>
    <w:qFormat/>
    <w:rPr>
      <w:rFonts w:cs="StarBats"/>
      <w:sz w:val="18"/>
      <w:szCs w:val="18"/>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trike w:val="false"/>
      <w:dstrike w:val="false"/>
      <w:u w:val="none"/>
      <w:effect w:val="none"/>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strike w:val="false"/>
      <w:dstrike w:val="false"/>
      <w:u w:val="none"/>
      <w:effect w:val="none"/>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sz w:val="18"/>
      <w:szCs w:val="18"/>
    </w:rPr>
  </w:style>
  <w:style w:type="character" w:styleId="ListLabel89">
    <w:name w:val="ListLabel 89"/>
    <w:qFormat/>
    <w:rPr>
      <w:rFonts w:cs="StarBats"/>
      <w:sz w:val="18"/>
      <w:szCs w:val="18"/>
    </w:rPr>
  </w:style>
  <w:style w:type="character" w:styleId="ListLabel90">
    <w:name w:val="ListLabel 90"/>
    <w:qFormat/>
    <w:rPr>
      <w:rFonts w:cs="StarBats"/>
      <w:sz w:val="18"/>
      <w:szCs w:val="18"/>
    </w:rPr>
  </w:style>
  <w:style w:type="character" w:styleId="ListLabel91">
    <w:name w:val="ListLabel 91"/>
    <w:qFormat/>
    <w:rPr>
      <w:rFonts w:cs="StarBats"/>
      <w:sz w:val="18"/>
      <w:szCs w:val="18"/>
    </w:rPr>
  </w:style>
  <w:style w:type="character" w:styleId="ListLabel92">
    <w:name w:val="ListLabel 92"/>
    <w:qFormat/>
    <w:rPr>
      <w:rFonts w:cs="StarBats"/>
      <w:sz w:val="18"/>
      <w:szCs w:val="18"/>
    </w:rPr>
  </w:style>
  <w:style w:type="character" w:styleId="ListLabel93">
    <w:name w:val="ListLabel 93"/>
    <w:qFormat/>
    <w:rPr>
      <w:rFonts w:cs="StarBats"/>
      <w:sz w:val="18"/>
      <w:szCs w:val="18"/>
    </w:rPr>
  </w:style>
  <w:style w:type="character" w:styleId="ListLabel94">
    <w:name w:val="ListLabel 94"/>
    <w:qFormat/>
    <w:rPr>
      <w:rFonts w:cs="StarBats"/>
      <w:sz w:val="18"/>
      <w:szCs w:val="18"/>
    </w:rPr>
  </w:style>
  <w:style w:type="character" w:styleId="ListLabel95">
    <w:name w:val="ListLabel 95"/>
    <w:qFormat/>
    <w:rPr>
      <w:rFonts w:cs="StarBats"/>
      <w:sz w:val="18"/>
      <w:szCs w:val="18"/>
    </w:rPr>
  </w:style>
  <w:style w:type="character" w:styleId="ListLabel96">
    <w:name w:val="ListLabel 96"/>
    <w:qFormat/>
    <w:rPr>
      <w:rFonts w:cs="StarBats"/>
      <w:sz w:val="18"/>
      <w:szCs w:val="18"/>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3a75ba"/>
    <w:pPr>
      <w:spacing w:lineRule="auto" w:line="240" w:before="0" w:after="0"/>
      <w:jc w:val="both"/>
    </w:pPr>
    <w:rPr>
      <w:rFonts w:ascii="Times New Roman" w:hAnsi="Times New Roman" w:eastAsia="Times New Roman" w:cs="Times New Roman"/>
      <w:sz w:val="24"/>
      <w:szCs w:val="20"/>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cb35ba"/>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paragraph" w:styleId="DomylnaczcionkaakapituAkapitZnakZnakZnakZnakZnakZnakZnakZnakZnakZnakZnakZnakZnakZnakZnakZnakZnakZnakZnakZnakZnakZnakZnakZnakZnakZnakZnakZnak" w:customStyle="1">
    <w:name w:val="Domyślna czcionka akapitu Akapit Znak Znak Znak Znak Znak Znak Znak Znak Znak Znak Znak Znak Znak Znak Znak Znak Znak Znak Znak Znak Znak Znak Znak Znak Znak Znak Znak Znak"/>
    <w:basedOn w:val="Normal"/>
    <w:qFormat/>
    <w:rsid w:val="00e91fc3"/>
    <w:pPr>
      <w:spacing w:lineRule="auto" w:line="240" w:before="0" w:after="0"/>
    </w:pPr>
    <w:rPr>
      <w:rFonts w:ascii="Times New Roman" w:hAnsi="Times New Roman" w:eastAsia="Times New Roman" w:cs="Times New Roman"/>
      <w:sz w:val="24"/>
      <w:szCs w:val="24"/>
      <w:lang w:eastAsia="pl-PL"/>
    </w:rPr>
  </w:style>
  <w:style w:type="paragraph" w:styleId="Przypiskocowy">
    <w:name w:val="Endnote Text"/>
    <w:basedOn w:val="Normal"/>
    <w:link w:val="TekstprzypisukocowegoZnak"/>
    <w:rsid w:val="003a75ba"/>
    <w:pPr>
      <w:spacing w:lineRule="auto" w:line="240" w:before="0" w:after="0"/>
    </w:pPr>
    <w:rPr>
      <w:rFonts w:ascii="Times New Roman" w:hAnsi="Times New Roman" w:eastAsia="Times New Roman" w:cs="Times New Roman"/>
      <w:sz w:val="20"/>
      <w:szCs w:val="20"/>
      <w:lang w:eastAsia="pl-PL"/>
    </w:rPr>
  </w:style>
  <w:style w:type="paragraph" w:styleId="Gwka">
    <w:name w:val="Header"/>
    <w:basedOn w:val="Normal"/>
    <w:link w:val="NagwekZnak"/>
    <w:rsid w:val="00d127a8"/>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6f2339"/>
    <w:pPr>
      <w:spacing w:before="0" w:after="160"/>
      <w:ind w:left="720" w:hanging="0"/>
      <w:contextualSpacing/>
    </w:pPr>
    <w:rPr/>
  </w:style>
  <w:style w:type="paragraph" w:styleId="Standard" w:customStyle="1">
    <w:name w:val="Standard"/>
    <w:qFormat/>
    <w:rsid w:val="00bd2ceb"/>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Stopka">
    <w:name w:val="Footer"/>
    <w:basedOn w:val="Normal"/>
    <w:link w:val="StopkaZnak"/>
    <w:uiPriority w:val="99"/>
    <w:unhideWhenUsed/>
    <w:rsid w:val="005c512a"/>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d706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LibreOffice/6.1.5.2$Windows_X86_64 LibreOffice_project/90f8dcf33c87b3705e78202e3df5142b201bd805</Application>
  <Pages>13</Pages>
  <Words>3250</Words>
  <Characters>21154</Characters>
  <CharactersWithSpaces>24380</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2020-11-04T20:21:00Z</dcterms:created>
  <dc:creator>asus</dc:creator>
  <dc:description/>
  <dc:language>pl-PL</dc:language>
  <cp:lastModifiedBy>asus</cp:lastModifiedBy>
  <cp:lastPrinted>2020-01-23T09:20:00Z</cp:lastPrinted>
  <dcterms:modified xsi:type="dcterms:W3CDTF">2020-11-04T20:21:00Z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